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B0455" w:rsidRDefault="004B0455"/>
    <w:tbl>
      <w:tblPr>
        <w:tblStyle w:val="TableGrid"/>
        <w:tblW w:w="10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CB6656" w:rsidRPr="00A860BB" w14:paraId="201C05F7" w14:textId="77777777" w:rsidTr="75F533B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D80AAE5" w14:textId="77777777" w:rsidR="005D2A4A" w:rsidRDefault="7C6710F1" w:rsidP="005D2A4A">
            <w:pPr>
              <w:pStyle w:val="Title"/>
              <w:rPr>
                <w:sz w:val="24"/>
                <w:szCs w:val="24"/>
              </w:rPr>
            </w:pPr>
            <w:r w:rsidRPr="7C6710F1">
              <w:rPr>
                <w:sz w:val="24"/>
                <w:szCs w:val="24"/>
              </w:rPr>
              <w:t>MA Public Relations</w:t>
            </w:r>
          </w:p>
          <w:p w14:paraId="75B835FE" w14:textId="6ED3F79D" w:rsidR="00AE7331" w:rsidRPr="0038572F" w:rsidRDefault="7C6710F1" w:rsidP="7C6710F1">
            <w:pPr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7C6710F1">
              <w:rPr>
                <w:rFonts w:ascii="Arial Black" w:eastAsia="Arial Black" w:hAnsi="Arial Black" w:cs="Arial Black"/>
                <w:color w:val="1479BC"/>
                <w:sz w:val="24"/>
                <w:szCs w:val="24"/>
              </w:rPr>
              <w:t>ORIENTATION TIMETABLE</w:t>
            </w:r>
          </w:p>
        </w:tc>
      </w:tr>
      <w:tr w:rsidR="00483ED9" w:rsidRPr="00A860BB" w14:paraId="47620553" w14:textId="77777777" w:rsidTr="75F533B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F16D03B" w14:textId="4C0A35AD" w:rsidR="7B24FBBC" w:rsidRDefault="7B24FBBC" w:rsidP="7B24FBB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2969DC" w14:textId="037F33FC" w:rsidR="7B24FBBC" w:rsidRDefault="75F533B7" w:rsidP="75F533B7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5F533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 LEADER – JON COPE/HEAD OF SCHOOL – MICHAELA O’BRIEN</w:t>
            </w:r>
          </w:p>
          <w:p w14:paraId="42EE86C6" w14:textId="0E54124D" w:rsidR="7B24FBBC" w:rsidRDefault="7B24FBBC" w:rsidP="7B24FBB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F935A3" w14:textId="6FBF232D" w:rsidR="7B24FBBC" w:rsidRDefault="7B24FBBC" w:rsidP="7B24FBB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7BDFCA" w14:textId="1858D236" w:rsidR="00DA0E24" w:rsidRPr="0038572F" w:rsidRDefault="6673ECBD" w:rsidP="6673ECBD">
            <w:pPr>
              <w:spacing w:line="276" w:lineRule="auto"/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Congratulations on being accepted onto the MA Public Relations course at the University of Westminster. My colleagues and I look forward to working with you and we will </w:t>
            </w:r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endeavour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 to ensure that your time with us will be creative, exciting and fulfilling.</w:t>
            </w:r>
          </w:p>
          <w:p w14:paraId="449852DC" w14:textId="42F2ADC8" w:rsidR="00DA0E24" w:rsidRPr="0038572F" w:rsidRDefault="6673ECBD" w:rsidP="6673ECBD">
            <w:pPr>
              <w:spacing w:line="276" w:lineRule="auto"/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EE5B1E2" w14:textId="6A9FD5AA" w:rsidR="00DA0E24" w:rsidRPr="0038572F" w:rsidRDefault="6673ECBD" w:rsidP="6673ECBD">
            <w:pPr>
              <w:spacing w:line="276" w:lineRule="auto"/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During Orientation week we will go through the course </w:t>
            </w:r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programme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 with you in detail.  We have arranged a number of activities to help you settle in and prepare for your time with us.  This will include </w:t>
            </w:r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familiarising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 you with workspaces, who you will be working with, the campus and its community before you start the formal, scheduled learning weeks.  </w:t>
            </w:r>
          </w:p>
          <w:p w14:paraId="0CC8072E" w14:textId="217FA574" w:rsidR="00DA0E24" w:rsidRPr="0038572F" w:rsidRDefault="6673ECBD" w:rsidP="6673ECBD">
            <w:pPr>
              <w:spacing w:line="276" w:lineRule="auto"/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352AE6C" w14:textId="22B2268A" w:rsidR="00DA0E24" w:rsidRPr="0038572F" w:rsidRDefault="6673ECBD" w:rsidP="6673ECBD">
            <w:pPr>
              <w:spacing w:line="276" w:lineRule="auto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We have included a list of books and other resources that will help you to get a good start in your studies pre-arrival, as well as a note on equipment and materials. If you are extra keen, don’t worry, there will be plenty more later! </w:t>
            </w:r>
          </w:p>
          <w:p w14:paraId="07B8244B" w14:textId="33C87A5D" w:rsidR="00DA0E24" w:rsidRPr="0038572F" w:rsidRDefault="6673ECBD" w:rsidP="6673ECBD">
            <w:pPr>
              <w:spacing w:line="276" w:lineRule="auto"/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2BA9DCE0" w14:textId="24A7B076" w:rsidR="00DA0E24" w:rsidRPr="0038572F" w:rsidRDefault="6673ECBD" w:rsidP="6673ECBD">
            <w:pPr>
              <w:spacing w:line="276" w:lineRule="auto"/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>Best wishes and welcome to University life. We look forward to seeing you in September.</w:t>
            </w:r>
          </w:p>
          <w:p w14:paraId="23147740" w14:textId="09A49DDC" w:rsidR="00DA0E24" w:rsidRPr="0038572F" w:rsidRDefault="6673ECBD" w:rsidP="6673ECBD">
            <w:pPr>
              <w:spacing w:line="276" w:lineRule="auto"/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E574F61" w14:textId="0B66EF3E" w:rsidR="00DA0E24" w:rsidRPr="0038572F" w:rsidRDefault="6673ECBD" w:rsidP="6673ECBD">
            <w:pPr>
              <w:spacing w:line="276" w:lineRule="auto"/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>Jon Cope</w:t>
            </w:r>
          </w:p>
          <w:p w14:paraId="0619FCD0" w14:textId="776919B9" w:rsidR="00DA0E24" w:rsidRPr="0038572F" w:rsidRDefault="6673ECBD" w:rsidP="6673ECB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>Course Leader</w:t>
            </w:r>
          </w:p>
          <w:p w14:paraId="0E4959C2" w14:textId="76573093" w:rsidR="00DA0E24" w:rsidRPr="0038572F" w:rsidRDefault="6673ECBD" w:rsidP="6673ECB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6673ECBD">
              <w:rPr>
                <w:rFonts w:ascii="Arial" w:eastAsia="Arial" w:hAnsi="Arial" w:cs="Arial"/>
                <w:sz w:val="22"/>
                <w:szCs w:val="22"/>
              </w:rPr>
              <w:t>MA Public Relations</w:t>
            </w:r>
          </w:p>
          <w:p w14:paraId="0A37501D" w14:textId="4ABA2D6B" w:rsidR="00DA0E24" w:rsidRPr="0038572F" w:rsidRDefault="00DA0E24" w:rsidP="6673EC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5DAB6C7B" w14:textId="77777777" w:rsidTr="75F533B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2EB378F" w14:textId="5BB6B68A" w:rsidR="00483ED9" w:rsidRPr="0038572F" w:rsidRDefault="00483ED9" w:rsidP="32CBE9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6A05A809" w14:textId="77777777" w:rsidTr="75F533B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5A39BBE3" w14:textId="77777777" w:rsidR="00483ED9" w:rsidRPr="0038572F" w:rsidRDefault="00483ED9" w:rsidP="00C64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410F1B9A" w14:textId="77777777" w:rsidTr="75F533B7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FDB3626" w14:textId="77777777" w:rsidTr="42354ED1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3BC609F" w14:textId="3A88B6C4" w:rsidR="0001120B" w:rsidRPr="0038572F" w:rsidRDefault="6673ECBD" w:rsidP="6673ECB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73ECB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</w:t>
                  </w:r>
                </w:p>
              </w:tc>
            </w:tr>
            <w:tr w:rsidR="0001120B" w:rsidRPr="0038572F" w14:paraId="0AF6A058" w14:textId="77777777" w:rsidTr="42354ED1">
              <w:tc>
                <w:tcPr>
                  <w:tcW w:w="3362" w:type="dxa"/>
                </w:tcPr>
                <w:p w14:paraId="77B6B7C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A4265B0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4395E1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3461D779" w14:textId="77777777" w:rsidTr="42354ED1">
              <w:tc>
                <w:tcPr>
                  <w:tcW w:w="3362" w:type="dxa"/>
                </w:tcPr>
                <w:p w14:paraId="3CF2D8B6" w14:textId="05715E13" w:rsidR="0001120B" w:rsidRPr="0038572F" w:rsidRDefault="6673ECBD" w:rsidP="6673ECBD">
                  <w:pPr>
                    <w:pStyle w:val="Normal-Centered"/>
                    <w:spacing w:line="259" w:lineRule="auto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73ECB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14:00 – 17:00</w:t>
                  </w:r>
                </w:p>
              </w:tc>
              <w:tc>
                <w:tcPr>
                  <w:tcW w:w="3362" w:type="dxa"/>
                </w:tcPr>
                <w:p w14:paraId="0FB78278" w14:textId="1EA484E4" w:rsidR="0001120B" w:rsidRPr="0038572F" w:rsidRDefault="6673ECBD" w:rsidP="6673ECB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73ECB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Course Welcome Meeting</w:t>
                  </w:r>
                </w:p>
              </w:tc>
              <w:tc>
                <w:tcPr>
                  <w:tcW w:w="3362" w:type="dxa"/>
                </w:tcPr>
                <w:p w14:paraId="17D9C0D6" w14:textId="48CCD9B8" w:rsidR="0001120B" w:rsidRPr="0038572F" w:rsidRDefault="32CBE9F4" w:rsidP="32CBE9F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32CBE9F4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Regent Street Campus</w:t>
                  </w:r>
                  <w:r w:rsidR="00C55F2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  <w:t>W1B 2HW</w:t>
                  </w:r>
                </w:p>
                <w:p w14:paraId="1FC39945" w14:textId="79014A6F" w:rsidR="0001120B" w:rsidRPr="0038572F" w:rsidRDefault="32CBE9F4" w:rsidP="32CBE9F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32CBE9F4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Room RS 352</w:t>
                  </w:r>
                </w:p>
              </w:tc>
            </w:tr>
          </w:tbl>
          <w:p w14:paraId="4CED9D6F" w14:textId="4253395E" w:rsidR="42354ED1" w:rsidRDefault="42354ED1"/>
          <w:p w14:paraId="6BB9E253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C050020" w14:textId="77777777" w:rsidTr="42354ED1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0B1AB19F" w14:textId="39215C88" w:rsidR="0001120B" w:rsidRPr="0038572F" w:rsidRDefault="6673ECBD" w:rsidP="6673ECBD">
                  <w:pPr>
                    <w:pStyle w:val="Normal-Centered"/>
                    <w:spacing w:line="259" w:lineRule="auto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73ECB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</w:t>
                  </w:r>
                </w:p>
              </w:tc>
            </w:tr>
            <w:tr w:rsidR="0001120B" w:rsidRPr="0038572F" w14:paraId="3BE91C73" w14:textId="77777777" w:rsidTr="42354ED1">
              <w:tc>
                <w:tcPr>
                  <w:tcW w:w="3362" w:type="dxa"/>
                </w:tcPr>
                <w:p w14:paraId="5A77FFC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427D7CE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240354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23DE523C" w14:textId="77777777" w:rsidTr="42354ED1">
              <w:tc>
                <w:tcPr>
                  <w:tcW w:w="3362" w:type="dxa"/>
                </w:tcPr>
                <w:p w14:paraId="52E56223" w14:textId="5CD2AE0C" w:rsidR="0001120B" w:rsidRPr="0038572F" w:rsidRDefault="6673ECBD" w:rsidP="6673ECB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73ECB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13:00 – 13:30</w:t>
                  </w:r>
                </w:p>
              </w:tc>
              <w:tc>
                <w:tcPr>
                  <w:tcW w:w="3362" w:type="dxa"/>
                </w:tcPr>
                <w:p w14:paraId="07547A01" w14:textId="686930A7" w:rsidR="0001120B" w:rsidRPr="0038572F" w:rsidRDefault="42354ED1" w:rsidP="42354ED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2354ED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School Welcome Meeting</w:t>
                  </w:r>
                </w:p>
              </w:tc>
              <w:tc>
                <w:tcPr>
                  <w:tcW w:w="3362" w:type="dxa"/>
                </w:tcPr>
                <w:p w14:paraId="5043CB0F" w14:textId="122BE34F" w:rsidR="0001120B" w:rsidRPr="0038572F" w:rsidRDefault="6673ECBD" w:rsidP="6673ECB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73ECB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Auditorium, Harrow</w:t>
                  </w:r>
                  <w:r w:rsidR="00C55F2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Campus</w:t>
                  </w:r>
                  <w:r w:rsidR="00C55F2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  <w:t>HA1 3TP</w:t>
                  </w:r>
                  <w:bookmarkStart w:id="0" w:name="_GoBack"/>
                  <w:bookmarkEnd w:id="0"/>
                </w:p>
              </w:tc>
            </w:tr>
            <w:tr w:rsidR="0001120B" w:rsidRPr="0038572F" w14:paraId="07459315" w14:textId="77777777" w:rsidTr="42354ED1">
              <w:tc>
                <w:tcPr>
                  <w:tcW w:w="3362" w:type="dxa"/>
                </w:tcPr>
                <w:p w14:paraId="6537F28F" w14:textId="4E894562" w:rsidR="0001120B" w:rsidRPr="0038572F" w:rsidRDefault="6673ECBD" w:rsidP="6673ECB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73ECB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3362" w:type="dxa"/>
                </w:tcPr>
                <w:p w14:paraId="6DFB9E20" w14:textId="37CA4AC0" w:rsidR="0001120B" w:rsidRPr="0038572F" w:rsidRDefault="42354ED1" w:rsidP="42354ED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2354ED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70DF9E56" w14:textId="25AF2783" w:rsidR="0001120B" w:rsidRPr="0038572F" w:rsidRDefault="6673ECBD" w:rsidP="6673ECB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73ECB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Auditorium, Harrow</w:t>
                  </w:r>
                </w:p>
              </w:tc>
            </w:tr>
            <w:tr w:rsidR="0001120B" w:rsidRPr="0038572F" w14:paraId="44E871BC" w14:textId="77777777" w:rsidTr="42354ED1">
              <w:tc>
                <w:tcPr>
                  <w:tcW w:w="3362" w:type="dxa"/>
                </w:tcPr>
                <w:p w14:paraId="144A5D23" w14:textId="11E4443B" w:rsidR="0001120B" w:rsidRPr="0038572F" w:rsidRDefault="42354ED1" w:rsidP="42354ED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2354ED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11:00 – 16:00</w:t>
                  </w:r>
                </w:p>
              </w:tc>
              <w:tc>
                <w:tcPr>
                  <w:tcW w:w="3362" w:type="dxa"/>
                </w:tcPr>
                <w:p w14:paraId="738610EB" w14:textId="584BFD73" w:rsidR="0001120B" w:rsidRPr="0038572F" w:rsidRDefault="7B24FBBC" w:rsidP="7B24FBBC">
                  <w:pPr>
                    <w:pStyle w:val="Normal-Centered"/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7B24FBBC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Arrivals Fair </w:t>
                  </w:r>
                  <w:r w:rsidRPr="7B24FBBC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(</w:t>
                  </w:r>
                  <w:r w:rsidRPr="7B24FBBC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24"/>
                      <w:szCs w:val="24"/>
                    </w:rPr>
                    <w:t>optional event)</w:t>
                  </w:r>
                </w:p>
              </w:tc>
              <w:tc>
                <w:tcPr>
                  <w:tcW w:w="3362" w:type="dxa"/>
                </w:tcPr>
                <w:p w14:paraId="637805D2" w14:textId="4BC47756" w:rsidR="0001120B" w:rsidRPr="0038572F" w:rsidRDefault="6673ECBD" w:rsidP="6673ECB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73ECB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The Forum, Harrow</w:t>
                  </w:r>
                </w:p>
              </w:tc>
            </w:tr>
          </w:tbl>
          <w:p w14:paraId="13096AB6" w14:textId="2256F865" w:rsidR="42354ED1" w:rsidRDefault="42354ED1"/>
          <w:p w14:paraId="1D7B270A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73943CF8" w14:textId="77777777" w:rsidTr="75F533B7">
        <w:trPr>
          <w:trHeight w:val="167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60D2BDDC" w14:textId="7C9414E3" w:rsidR="00483ED9" w:rsidRPr="0038572F" w:rsidRDefault="42354ED1" w:rsidP="42354ED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42354ED1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READING LIST</w:t>
            </w:r>
          </w:p>
          <w:p w14:paraId="4DE6E025" w14:textId="1820887E" w:rsidR="42354ED1" w:rsidRDefault="42354ED1" w:rsidP="42354ED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CD4D309" w14:textId="67B1B8F5" w:rsidR="00483ED9" w:rsidRPr="0038572F" w:rsidRDefault="6673ECBD" w:rsidP="0038572F">
            <w:r w:rsidRPr="6673ECBD">
              <w:rPr>
                <w:rFonts w:ascii="Arial" w:eastAsia="Arial" w:hAnsi="Arial" w:cs="Arial"/>
                <w:sz w:val="22"/>
                <w:szCs w:val="22"/>
              </w:rPr>
              <w:t>Bernays, E (2011) Crystallizing public opinion (latest edition of the early 20th century Bernays text)</w:t>
            </w:r>
          </w:p>
          <w:p w14:paraId="797E1664" w14:textId="7EE52545" w:rsidR="00483ED9" w:rsidRPr="0038572F" w:rsidRDefault="6673ECBD" w:rsidP="0038572F"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Cope, J &amp; Maloney, D (2016) Fashion promotion in practice </w:t>
            </w:r>
          </w:p>
          <w:p w14:paraId="2A4B2C3B" w14:textId="7B1BC91F" w:rsidR="00483ED9" w:rsidRPr="0038572F" w:rsidRDefault="6673ECBD" w:rsidP="0038572F"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Davis, A (2013) Promotional cultures: the rise and spread of advertising, public relations, marketing and branding </w:t>
            </w:r>
          </w:p>
          <w:p w14:paraId="11FE3828" w14:textId="41896100" w:rsidR="00483ED9" w:rsidRPr="0038572F" w:rsidRDefault="6673ECBD" w:rsidP="0038572F"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Daymon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, C &amp; Holloway, I (2011) Qualitative research methods in public relations and marketing communications  </w:t>
            </w:r>
          </w:p>
          <w:p w14:paraId="7C581C27" w14:textId="113E8A7E" w:rsidR="00483ED9" w:rsidRPr="0038572F" w:rsidRDefault="6673ECBD" w:rsidP="0038572F"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Fearn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>-Banks (2017) Crisis Communications: a casebook approach</w:t>
            </w:r>
          </w:p>
          <w:p w14:paraId="407932E5" w14:textId="4D6BE559" w:rsidR="00483ED9" w:rsidRPr="0038572F" w:rsidRDefault="6673ECBD" w:rsidP="0038572F"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Gladwell, M (2002) The tipping point: how little things can make a big difference </w:t>
            </w:r>
          </w:p>
          <w:p w14:paraId="4340D0D7" w14:textId="6BFF563E" w:rsidR="00483ED9" w:rsidRPr="0038572F" w:rsidRDefault="6673ECBD" w:rsidP="0038572F"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Gregory, A (2010) Planning and managing public relations campaigns: a strategic approach </w:t>
            </w:r>
          </w:p>
          <w:p w14:paraId="314526E1" w14:textId="040F0F17" w:rsidR="00483ED9" w:rsidRPr="0038572F" w:rsidRDefault="6673ECBD" w:rsidP="0038572F"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Grunig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, J (2013) Excellence in public relations and communication management </w:t>
            </w:r>
          </w:p>
          <w:p w14:paraId="7D384358" w14:textId="2C1738DD" w:rsidR="00483ED9" w:rsidRPr="0038572F" w:rsidRDefault="6673ECBD" w:rsidP="0038572F"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L’Etang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Pieczka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>, M (2006) Public relations: critical debates and contemporary practice</w:t>
            </w:r>
          </w:p>
          <w:p w14:paraId="6A6FBBB0" w14:textId="2101FFD3" w:rsidR="00483ED9" w:rsidRPr="0038572F" w:rsidRDefault="6673ECBD" w:rsidP="0038572F">
            <w:r w:rsidRPr="6673ECBD">
              <w:rPr>
                <w:rFonts w:ascii="Arial" w:eastAsia="Arial" w:hAnsi="Arial" w:cs="Arial"/>
                <w:sz w:val="22"/>
                <w:szCs w:val="22"/>
              </w:rPr>
              <w:t>Parsons, P (2008) Ethics in public relations: a guide to best practice</w:t>
            </w:r>
          </w:p>
          <w:p w14:paraId="6DD460C0" w14:textId="2E8DE420" w:rsidR="00483ED9" w:rsidRPr="0038572F" w:rsidRDefault="6673ECBD" w:rsidP="0038572F">
            <w:r w:rsidRPr="6673ECBD">
              <w:rPr>
                <w:rFonts w:ascii="Arial" w:eastAsia="Arial" w:hAnsi="Arial" w:cs="Arial"/>
                <w:sz w:val="22"/>
                <w:szCs w:val="22"/>
              </w:rPr>
              <w:t>Perloff, R (2017) The dynamics of persuasion: communication and attitudes in the 21st century</w:t>
            </w:r>
          </w:p>
          <w:p w14:paraId="13425E5D" w14:textId="5CCCC5BB" w:rsidR="00483ED9" w:rsidRPr="0038572F" w:rsidRDefault="6673ECBD" w:rsidP="0038572F"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Rogers, D (2015) Campaigns that shook the world: the evolution of public relations </w:t>
            </w:r>
          </w:p>
          <w:p w14:paraId="38FCF854" w14:textId="63D18CC5" w:rsidR="00483ED9" w:rsidRPr="0038572F" w:rsidRDefault="6673ECBD" w:rsidP="0038572F"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Sriramesh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, K &amp; </w:t>
            </w:r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Vercic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, D (2009) The global public relations handbook: theory, research, and practice </w:t>
            </w:r>
          </w:p>
          <w:p w14:paraId="4859684A" w14:textId="0E1ADE17" w:rsidR="00483ED9" w:rsidRPr="0038572F" w:rsidRDefault="6673ECBD" w:rsidP="0038572F"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Tench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>, R &amp; Yeomans, L (2014) Exploring public relations</w:t>
            </w:r>
          </w:p>
          <w:p w14:paraId="00B37221" w14:textId="15AFD291" w:rsidR="00483ED9" w:rsidRPr="0038572F" w:rsidRDefault="6673ECBD" w:rsidP="0038572F"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Watson, T &amp; Noble, P (2014) Evaluating public relations: a guide to planning, research and measurement </w:t>
            </w:r>
          </w:p>
          <w:p w14:paraId="0A111343" w14:textId="00BD0396" w:rsidR="00483ED9" w:rsidRPr="0038572F" w:rsidRDefault="6673ECBD" w:rsidP="0038572F">
            <w:r w:rsidRPr="6673ECBD">
              <w:rPr>
                <w:rFonts w:ascii="Arial" w:eastAsia="Arial" w:hAnsi="Arial" w:cs="Arial"/>
                <w:sz w:val="22"/>
                <w:szCs w:val="22"/>
              </w:rPr>
              <w:t xml:space="preserve">Wilcox, D; Cameron, G &amp; </w:t>
            </w:r>
            <w:proofErr w:type="spellStart"/>
            <w:r w:rsidRPr="6673ECBD">
              <w:rPr>
                <w:rFonts w:ascii="Arial" w:eastAsia="Arial" w:hAnsi="Arial" w:cs="Arial"/>
                <w:sz w:val="22"/>
                <w:szCs w:val="22"/>
              </w:rPr>
              <w:t>Reber</w:t>
            </w:r>
            <w:proofErr w:type="spellEnd"/>
            <w:r w:rsidRPr="6673ECBD">
              <w:rPr>
                <w:rFonts w:ascii="Arial" w:eastAsia="Arial" w:hAnsi="Arial" w:cs="Arial"/>
                <w:sz w:val="22"/>
                <w:szCs w:val="22"/>
              </w:rPr>
              <w:t>, B (2015) Public relations: strategies and tactics</w:t>
            </w:r>
          </w:p>
          <w:p w14:paraId="64EF2C30" w14:textId="14D64009" w:rsidR="00483ED9" w:rsidRPr="0038572F" w:rsidRDefault="00483ED9" w:rsidP="6673ECB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C93062E" w14:textId="15199C80" w:rsidR="42354ED1" w:rsidRDefault="42354ED1"/>
    <w:p w14:paraId="0A4F7224" w14:textId="77777777"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D5F3" w14:textId="77777777" w:rsidR="0035404B" w:rsidRDefault="0035404B" w:rsidP="00DC5D31">
      <w:r>
        <w:separator/>
      </w:r>
    </w:p>
  </w:endnote>
  <w:endnote w:type="continuationSeparator" w:id="0">
    <w:p w14:paraId="0987B5BC" w14:textId="77777777" w:rsidR="0035404B" w:rsidRDefault="0035404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8858" w14:textId="77777777" w:rsidR="0035404B" w:rsidRDefault="0035404B" w:rsidP="00DC5D31">
      <w:r>
        <w:separator/>
      </w:r>
    </w:p>
  </w:footnote>
  <w:footnote w:type="continuationSeparator" w:id="0">
    <w:p w14:paraId="3A770824" w14:textId="77777777" w:rsidR="0035404B" w:rsidRDefault="0035404B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377D6"/>
    <w:rsid w:val="00085572"/>
    <w:rsid w:val="000B3E71"/>
    <w:rsid w:val="000C003F"/>
    <w:rsid w:val="000D151A"/>
    <w:rsid w:val="000F23C5"/>
    <w:rsid w:val="000F44BA"/>
    <w:rsid w:val="000F6631"/>
    <w:rsid w:val="00115B37"/>
    <w:rsid w:val="001430D7"/>
    <w:rsid w:val="00144CBE"/>
    <w:rsid w:val="00146976"/>
    <w:rsid w:val="00177627"/>
    <w:rsid w:val="001C012F"/>
    <w:rsid w:val="001E22E4"/>
    <w:rsid w:val="001E63EE"/>
    <w:rsid w:val="001F37F6"/>
    <w:rsid w:val="001F47D8"/>
    <w:rsid w:val="00204FAB"/>
    <w:rsid w:val="00211857"/>
    <w:rsid w:val="00230763"/>
    <w:rsid w:val="0023675D"/>
    <w:rsid w:val="00245AA2"/>
    <w:rsid w:val="0026252B"/>
    <w:rsid w:val="002C0CE8"/>
    <w:rsid w:val="002D03A2"/>
    <w:rsid w:val="002D2E22"/>
    <w:rsid w:val="002D3B2D"/>
    <w:rsid w:val="002F4304"/>
    <w:rsid w:val="002F6A0F"/>
    <w:rsid w:val="00315BC0"/>
    <w:rsid w:val="003205C6"/>
    <w:rsid w:val="00333781"/>
    <w:rsid w:val="0035404B"/>
    <w:rsid w:val="00354439"/>
    <w:rsid w:val="0038572F"/>
    <w:rsid w:val="00385B8E"/>
    <w:rsid w:val="00393BDA"/>
    <w:rsid w:val="00395262"/>
    <w:rsid w:val="003B029B"/>
    <w:rsid w:val="003B7552"/>
    <w:rsid w:val="003C602C"/>
    <w:rsid w:val="003C6F53"/>
    <w:rsid w:val="003D10EC"/>
    <w:rsid w:val="003F4E45"/>
    <w:rsid w:val="00415899"/>
    <w:rsid w:val="00425288"/>
    <w:rsid w:val="004379CA"/>
    <w:rsid w:val="00437A5C"/>
    <w:rsid w:val="0046527A"/>
    <w:rsid w:val="004839FF"/>
    <w:rsid w:val="00483ED9"/>
    <w:rsid w:val="004A312A"/>
    <w:rsid w:val="004B0455"/>
    <w:rsid w:val="004B0F75"/>
    <w:rsid w:val="004B123B"/>
    <w:rsid w:val="004F4934"/>
    <w:rsid w:val="004F4A87"/>
    <w:rsid w:val="004F6C14"/>
    <w:rsid w:val="00506170"/>
    <w:rsid w:val="005120B5"/>
    <w:rsid w:val="00515C2B"/>
    <w:rsid w:val="00527480"/>
    <w:rsid w:val="00535E27"/>
    <w:rsid w:val="00551E08"/>
    <w:rsid w:val="00560B19"/>
    <w:rsid w:val="005618A8"/>
    <w:rsid w:val="005640E4"/>
    <w:rsid w:val="005704AE"/>
    <w:rsid w:val="00574899"/>
    <w:rsid w:val="005755E1"/>
    <w:rsid w:val="00585B60"/>
    <w:rsid w:val="005A324F"/>
    <w:rsid w:val="005B7977"/>
    <w:rsid w:val="005D2A4A"/>
    <w:rsid w:val="005F7A7A"/>
    <w:rsid w:val="00611673"/>
    <w:rsid w:val="00622272"/>
    <w:rsid w:val="00637F39"/>
    <w:rsid w:val="00647167"/>
    <w:rsid w:val="00657B86"/>
    <w:rsid w:val="00671C4C"/>
    <w:rsid w:val="00677A78"/>
    <w:rsid w:val="006837C7"/>
    <w:rsid w:val="00696CB2"/>
    <w:rsid w:val="006A7299"/>
    <w:rsid w:val="006B4992"/>
    <w:rsid w:val="006D077E"/>
    <w:rsid w:val="006E3C43"/>
    <w:rsid w:val="006F220A"/>
    <w:rsid w:val="006F2869"/>
    <w:rsid w:val="006F2B1F"/>
    <w:rsid w:val="006F681D"/>
    <w:rsid w:val="00703880"/>
    <w:rsid w:val="00704D86"/>
    <w:rsid w:val="00713340"/>
    <w:rsid w:val="00713D96"/>
    <w:rsid w:val="00716614"/>
    <w:rsid w:val="00721E9B"/>
    <w:rsid w:val="00731E8C"/>
    <w:rsid w:val="00733242"/>
    <w:rsid w:val="00735779"/>
    <w:rsid w:val="00761D56"/>
    <w:rsid w:val="00774456"/>
    <w:rsid w:val="00776529"/>
    <w:rsid w:val="00776869"/>
    <w:rsid w:val="0079681F"/>
    <w:rsid w:val="007A1517"/>
    <w:rsid w:val="007A2787"/>
    <w:rsid w:val="007D26D3"/>
    <w:rsid w:val="007E6792"/>
    <w:rsid w:val="007E6EB1"/>
    <w:rsid w:val="007F05B3"/>
    <w:rsid w:val="007F20CD"/>
    <w:rsid w:val="00800D01"/>
    <w:rsid w:val="00803B6B"/>
    <w:rsid w:val="008121DA"/>
    <w:rsid w:val="008245A5"/>
    <w:rsid w:val="00825295"/>
    <w:rsid w:val="00832BAA"/>
    <w:rsid w:val="008351AF"/>
    <w:rsid w:val="008424EB"/>
    <w:rsid w:val="008526FE"/>
    <w:rsid w:val="008E4B7A"/>
    <w:rsid w:val="00906B36"/>
    <w:rsid w:val="009144D2"/>
    <w:rsid w:val="00925CF7"/>
    <w:rsid w:val="0092625C"/>
    <w:rsid w:val="00933BAD"/>
    <w:rsid w:val="00943386"/>
    <w:rsid w:val="00947D97"/>
    <w:rsid w:val="009551DC"/>
    <w:rsid w:val="0096275F"/>
    <w:rsid w:val="00967E0C"/>
    <w:rsid w:val="0097186E"/>
    <w:rsid w:val="00972235"/>
    <w:rsid w:val="009904D2"/>
    <w:rsid w:val="009A12CB"/>
    <w:rsid w:val="009B4098"/>
    <w:rsid w:val="009B5031"/>
    <w:rsid w:val="009B61C4"/>
    <w:rsid w:val="009B641A"/>
    <w:rsid w:val="009C60F7"/>
    <w:rsid w:val="009D044D"/>
    <w:rsid w:val="00A025D4"/>
    <w:rsid w:val="00A0281B"/>
    <w:rsid w:val="00A05B52"/>
    <w:rsid w:val="00A21184"/>
    <w:rsid w:val="00A24B07"/>
    <w:rsid w:val="00A46882"/>
    <w:rsid w:val="00A54BB8"/>
    <w:rsid w:val="00A55C79"/>
    <w:rsid w:val="00A64A0F"/>
    <w:rsid w:val="00A67C36"/>
    <w:rsid w:val="00A70C67"/>
    <w:rsid w:val="00A831E6"/>
    <w:rsid w:val="00A860BB"/>
    <w:rsid w:val="00AA45AA"/>
    <w:rsid w:val="00AA58FB"/>
    <w:rsid w:val="00AD5B55"/>
    <w:rsid w:val="00AE7331"/>
    <w:rsid w:val="00AF1D2F"/>
    <w:rsid w:val="00B14394"/>
    <w:rsid w:val="00B17BC2"/>
    <w:rsid w:val="00B26E49"/>
    <w:rsid w:val="00B51027"/>
    <w:rsid w:val="00B672DE"/>
    <w:rsid w:val="00B83197"/>
    <w:rsid w:val="00B9241B"/>
    <w:rsid w:val="00BA4D2A"/>
    <w:rsid w:val="00BA681C"/>
    <w:rsid w:val="00BB33CE"/>
    <w:rsid w:val="00C06DCC"/>
    <w:rsid w:val="00C24547"/>
    <w:rsid w:val="00C270A0"/>
    <w:rsid w:val="00C34171"/>
    <w:rsid w:val="00C45381"/>
    <w:rsid w:val="00C55F20"/>
    <w:rsid w:val="00C644E7"/>
    <w:rsid w:val="00C6523B"/>
    <w:rsid w:val="00C75682"/>
    <w:rsid w:val="00C94A7F"/>
    <w:rsid w:val="00CA2E53"/>
    <w:rsid w:val="00CB6656"/>
    <w:rsid w:val="00CB6E55"/>
    <w:rsid w:val="00CC0A67"/>
    <w:rsid w:val="00CD617B"/>
    <w:rsid w:val="00CE5331"/>
    <w:rsid w:val="00CF24A6"/>
    <w:rsid w:val="00CF4F32"/>
    <w:rsid w:val="00D04BC9"/>
    <w:rsid w:val="00D12BB3"/>
    <w:rsid w:val="00D14C65"/>
    <w:rsid w:val="00D306AC"/>
    <w:rsid w:val="00D45421"/>
    <w:rsid w:val="00D50F5F"/>
    <w:rsid w:val="00D61965"/>
    <w:rsid w:val="00D9404A"/>
    <w:rsid w:val="00DA0E24"/>
    <w:rsid w:val="00DB03E8"/>
    <w:rsid w:val="00DC5468"/>
    <w:rsid w:val="00DC5D31"/>
    <w:rsid w:val="00DD1BDB"/>
    <w:rsid w:val="00DF74FF"/>
    <w:rsid w:val="00E368C0"/>
    <w:rsid w:val="00E36917"/>
    <w:rsid w:val="00E436E9"/>
    <w:rsid w:val="00E5035D"/>
    <w:rsid w:val="00E615E1"/>
    <w:rsid w:val="00E61CBD"/>
    <w:rsid w:val="00E70A64"/>
    <w:rsid w:val="00E90FC5"/>
    <w:rsid w:val="00E973E5"/>
    <w:rsid w:val="00E97C00"/>
    <w:rsid w:val="00EA784E"/>
    <w:rsid w:val="00EB50F0"/>
    <w:rsid w:val="00EB521E"/>
    <w:rsid w:val="00ED14F3"/>
    <w:rsid w:val="00ED3244"/>
    <w:rsid w:val="00ED5FDF"/>
    <w:rsid w:val="00ED6463"/>
    <w:rsid w:val="00EF12C1"/>
    <w:rsid w:val="00F11A52"/>
    <w:rsid w:val="00F13C72"/>
    <w:rsid w:val="00F50B25"/>
    <w:rsid w:val="00F74868"/>
    <w:rsid w:val="00F7528E"/>
    <w:rsid w:val="00F86BF9"/>
    <w:rsid w:val="00FA44EA"/>
    <w:rsid w:val="00FA4A17"/>
    <w:rsid w:val="00FC3736"/>
    <w:rsid w:val="00FD0256"/>
    <w:rsid w:val="00FE263D"/>
    <w:rsid w:val="00FE2D0B"/>
    <w:rsid w:val="00FF73C9"/>
    <w:rsid w:val="28B1E704"/>
    <w:rsid w:val="32CBE9F4"/>
    <w:rsid w:val="42354ED1"/>
    <w:rsid w:val="6673ECBD"/>
    <w:rsid w:val="75F533B7"/>
    <w:rsid w:val="7B24FBBC"/>
    <w:rsid w:val="7C6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18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1023C-A917-9A4E-9237-D29A52E9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2019-05-13T11:48:00Z</dcterms:created>
  <dcterms:modified xsi:type="dcterms:W3CDTF">2019-08-13T09:59:00Z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