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5"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B">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C">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Marketing Communications</w:t>
            </w:r>
            <w:r w:rsidDel="00000000" w:rsidR="00000000" w:rsidRPr="00000000">
              <w:rPr>
                <w:rtl w:val="0"/>
              </w:rPr>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from Dr Leigh Doster</w:t>
              <w:br w:type="textWrapping"/>
              <w:t xml:space="preserve">Head of the School of Management and Marketing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r w:rsidDel="00000000" w:rsidR="00000000" w:rsidRPr="00000000">
              <w:drawing>
                <wp:anchor allowOverlap="1" behindDoc="0" distB="0" distT="0" distL="114300" distR="114300" hidden="0" layoutInCell="1" locked="0" relativeHeight="0" simplePos="0">
                  <wp:simplePos x="0" y="0"/>
                  <wp:positionH relativeFrom="column">
                    <wp:posOffset>-865504</wp:posOffset>
                  </wp:positionH>
                  <wp:positionV relativeFrom="paragraph">
                    <wp:posOffset>38735</wp:posOffset>
                  </wp:positionV>
                  <wp:extent cx="1137285" cy="1294765"/>
                  <wp:effectExtent b="0" l="0" r="0" t="0"/>
                  <wp:wrapSquare wrapText="bothSides" distB="0" distT="0" distL="114300" distR="114300"/>
                  <wp:docPr descr="Leigh - March 2017.jpg" id="6" name="image2.jpg"/>
                  <a:graphic>
                    <a:graphicData uri="http://schemas.openxmlformats.org/drawingml/2006/picture">
                      <pic:pic>
                        <pic:nvPicPr>
                          <pic:cNvPr descr="Leigh - March 2017.jpg" id="0" name="image2.jpg"/>
                          <pic:cNvPicPr preferRelativeResize="0"/>
                        </pic:nvPicPr>
                        <pic:blipFill>
                          <a:blip r:embed="rId8"/>
                          <a:srcRect b="28763" l="0" r="9359" t="2558"/>
                          <a:stretch>
                            <a:fillRect/>
                          </a:stretch>
                        </pic:blipFill>
                        <pic:spPr>
                          <a:xfrm>
                            <a:off x="0" y="0"/>
                            <a:ext cx="1137285" cy="1294765"/>
                          </a:xfrm>
                          <a:prstGeom prst="rect"/>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large enough to provide you with superb facilities and exciting options but small enough to get to know you all personally and for you to get to know each other. The way we do this is through a course focused approach. So during Arrivals from Friday 13 September you will get to meet your Course Leader and Team, your Personal Tutor and fellow students and take part in a range of activities that will ensure that you have all the information you need to be able to start your studies.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wishes, Leigh</w:t>
            </w:r>
          </w:p>
          <w:p w:rsidR="00000000" w:rsidDel="00000000" w:rsidP="00000000" w:rsidRDefault="00000000" w:rsidRPr="00000000" w14:paraId="00000014">
            <w:pPr>
              <w:pStyle w:val="Heading1"/>
              <w:rPr>
                <w:b w:val="0"/>
                <w:sz w:val="22"/>
                <w:szCs w:val="22"/>
              </w:rPr>
            </w:pPr>
            <w:r w:rsidDel="00000000" w:rsidR="00000000" w:rsidRPr="00000000">
              <w:rPr>
                <w:sz w:val="22"/>
                <w:szCs w:val="22"/>
                <w:rtl w:val="0"/>
              </w:rPr>
              <w:t xml:space="preserve">COURSE LEADER WELCOME</w:t>
            </w:r>
            <w:r w:rsidDel="00000000" w:rsidR="00000000" w:rsidRPr="00000000">
              <w:rPr>
                <w:rtl w:val="0"/>
              </w:rPr>
            </w:r>
          </w:p>
          <w:p w:rsidR="00000000" w:rsidDel="00000000" w:rsidP="00000000" w:rsidRDefault="00000000" w:rsidRPr="00000000" w14:paraId="00000015">
            <w:pPr>
              <w:jc w:val="center"/>
              <w:rPr>
                <w:b w:val="1"/>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We are delighted you have chosen to study with us. We are your Course Leaders and, on behalf of the course team, we would like to warmly welcome you to the BA Marketing degree programmes. The next three or four years will be full of new experiences and during these years, you are likely to make a number of life-long friends.</w:t>
            </w:r>
          </w:p>
          <w:p w:rsidR="00000000" w:rsidDel="00000000" w:rsidP="00000000" w:rsidRDefault="00000000" w:rsidRPr="00000000" w14:paraId="00000017">
            <w:pPr>
              <w:ind w:left="494"/>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Your Marketing degree Course will immerse you in contemporary marketing knowledge, skills and expertise as well as giving you a strong foundation in many aspects of business life. During your first year you will be introduced to the basic concepts of marketing management, marketing communications and marketing in an international context. You will have the opportunity to advance your knowledge and refine your business skills, as well as achieve a qualification that will further enhance your competitive advantage in the job market.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However, in order for you to gain the maximum benefit you need to engage fully and take ownership of your own learning and development. This may be different to your past experiences of education, where you are told what you need to learn and when you need to learn it by. The University environment will be new to many of you, so it is natural to be unsure and a little confused to start. However, after a few weeks you will have a better understanding about what is expected from you and what you should expect from us.</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The orientation week activities and your personal tutoring session are important elements in ensuring that you have all of the knowledge required to do well in your studies. </w:t>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Carol Blackman and Jon Pike</w:t>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E">
            <w:pPr>
              <w:rPr>
                <w:sz w:val="22"/>
                <w:szCs w:val="22"/>
              </w:rPr>
            </w:pPr>
            <w:r w:rsidDel="00000000" w:rsidR="00000000" w:rsidRPr="00000000">
              <w:rPr>
                <w:rtl w:val="0"/>
              </w:rPr>
            </w:r>
          </w:p>
        </w:tc>
      </w:tr>
      <w:tr>
        <w:trPr>
          <w:trHeight w:val="472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16th September 2019</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tcBorders>
                    <w:bottom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10:30</w:t>
                  </w:r>
                </w:p>
              </w:tc>
              <w:tc>
                <w:tcPr>
                  <w:tcBorders>
                    <w:bottom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School of Management and Marketing</w:t>
                  </w:r>
                </w:p>
              </w:tc>
              <w:tc>
                <w:tcPr>
                  <w:tcBorders>
                    <w:bottom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rPr>
                <w:trHeight w:val="60" w:hRule="atLeast"/>
              </w:trPr>
              <w:tc>
                <w:tcPr>
                  <w:gridSpan w:val="3"/>
                  <w:tcBorders>
                    <w:left w:color="000000" w:space="0" w:sz="0" w:val="nil"/>
                    <w:right w:color="000000" w:space="0" w:sz="0" w:val="nil"/>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3"/>
                  <w:shd w:fill="92ccf3"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10.15 -13.00</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the Course by Course Leaders</w:t>
                  </w:r>
                </w:p>
              </w:tc>
              <w:tc>
                <w:tcPr>
                  <w:tcBorders>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13.00 -14.00</w:t>
                  </w:r>
                </w:p>
              </w:tc>
              <w:tc>
                <w:tcPr>
                  <w:tcBorders>
                    <w:right w:color="000000" w:space="0" w:sz="0" w:val="nil"/>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w:t>
                  </w:r>
                </w:p>
              </w:tc>
              <w:tc>
                <w:tcPr>
                  <w:tcBorders>
                    <w:left w:color="000000" w:space="0" w:sz="0" w:val="nil"/>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–16.00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 Trail with FANS</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Leaders to confirm meeting place in preceding session.</w:t>
                  </w:r>
                </w:p>
              </w:tc>
            </w:tr>
            <w:tr>
              <w:tc>
                <w:tcPr>
                  <w:tcBorders>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16.00 -16.30</w:t>
                  </w:r>
                </w:p>
              </w:tc>
              <w:tc>
                <w:tcPr>
                  <w:tcBorders>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Results of Treasure Trail</w:t>
                  </w:r>
                </w:p>
              </w:tc>
              <w:tc>
                <w:tcPr>
                  <w:tcBorders>
                    <w:bottom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rPr>
                <w:trHeight w:val="120" w:hRule="atLeast"/>
              </w:trPr>
              <w:tc>
                <w:tcPr>
                  <w:gridSpan w:val="3"/>
                  <w:tcBorders>
                    <w:left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3"/>
                  <w:shd w:fill="92ccf3"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09.00 - 10.30</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Enrolment </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Computer Labs and Blackboard</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12.00 - 13.00</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UK Media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(Guest speaker) </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14.00 - 15.00</w:t>
                  </w:r>
                </w:p>
              </w:tc>
              <w:tc>
                <w:tcPr>
                  <w:tcBorders>
                    <w:bottom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Briefing on the Marketing Challenge by Course Leaders</w:t>
                  </w:r>
                </w:p>
              </w:tc>
              <w:tc>
                <w:tcPr>
                  <w:tcBorders>
                    <w:bottom w:color="000000" w:space="0" w:sz="4" w:val="single"/>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tl w:val="0"/>
                    </w:rPr>
                  </w:r>
                </w:p>
              </w:tc>
            </w:tr>
            <w:tr>
              <w:tc>
                <w:tcPr>
                  <w:gridSpan w:val="3"/>
                  <w:tcBorders>
                    <w:top w:color="000000" w:space="0" w:sz="4" w:val="single"/>
                  </w:tcBorders>
                  <w:shd w:fill="92ccf3"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tcBorders>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10.00 - 17.00</w:t>
                  </w:r>
                </w:p>
              </w:tc>
              <w:tc>
                <w:tcPr>
                  <w:tcBorders>
                    <w:bottom w:color="000000" w:space="0" w:sz="4" w:val="single"/>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Marketing Challenge</w:t>
                  </w:r>
                </w:p>
              </w:tc>
              <w:tc>
                <w:tcPr>
                  <w:tcBorders>
                    <w:bottom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visit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Tower of London</w:t>
                  </w:r>
                  <w:r w:rsidDel="00000000" w:rsidR="00000000" w:rsidRPr="00000000">
                    <w:rPr>
                      <w:rtl w:val="0"/>
                    </w:rPr>
                  </w:r>
                </w:p>
              </w:tc>
            </w:tr>
            <w:tr>
              <w:tc>
                <w:tcPr>
                  <w:gridSpan w:val="3"/>
                  <w:tcBorders>
                    <w:left w:color="000000" w:space="0" w:sz="0" w:val="nil"/>
                    <w:right w:color="000000" w:space="0" w:sz="0" w:val="nil"/>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760" w:hRule="atLeast"/>
              </w:trPr>
              <w:tc>
                <w:tcPr>
                  <w:gridSpan w:val="3"/>
                  <w:shd w:fill="92ccf3"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71">
                  <w:pPr>
                    <w:jc w:val="center"/>
                    <w:rPr>
                      <w:rFonts w:ascii="Arial" w:cs="Arial" w:eastAsia="Arial" w:hAnsi="Arial"/>
                      <w:b w:val="0"/>
                      <w:color w:val="000000"/>
                    </w:rPr>
                  </w:pPr>
                  <w:r w:rsidDel="00000000" w:rsidR="00000000" w:rsidRPr="00000000">
                    <w:rPr>
                      <w:rFonts w:ascii="Arial" w:cs="Arial" w:eastAsia="Arial" w:hAnsi="Arial"/>
                      <w:b w:val="1"/>
                      <w:color w:val="000000"/>
                      <w:sz w:val="22"/>
                      <w:szCs w:val="22"/>
                      <w:rtl w:val="0"/>
                    </w:rPr>
                    <w:t xml:space="preserve">10:00 – 16:00: Arrivals Fair, Ambika P3 Marylebone Campus</w:t>
                  </w:r>
                  <w:r w:rsidDel="00000000" w:rsidR="00000000" w:rsidRPr="00000000">
                    <w:rPr>
                      <w:rtl w:val="0"/>
                    </w:rPr>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09.30 - 12.00</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Introduction for late enrollers by Course Leaders</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0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7C">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sz w:val="22"/>
                <w:szCs w:val="22"/>
                <w:rtl w:val="0"/>
              </w:rPr>
              <w:t xml:space="preserve">BA Marketing Management:</w:t>
            </w:r>
          </w:p>
          <w:p w:rsidR="00000000" w:rsidDel="00000000" w:rsidP="00000000" w:rsidRDefault="00000000" w:rsidRPr="00000000" w14:paraId="0000007F">
            <w:pPr>
              <w:rPr>
                <w:sz w:val="22"/>
                <w:szCs w:val="22"/>
              </w:rPr>
            </w:pPr>
            <w:r w:rsidDel="00000000" w:rsidR="00000000" w:rsidRPr="00000000">
              <w:rPr>
                <w:sz w:val="22"/>
                <w:szCs w:val="22"/>
                <w:rtl w:val="0"/>
              </w:rPr>
              <w:t xml:space="preserve">Jobber and Ellis-Chadwick </w:t>
            </w:r>
            <w:r w:rsidDel="00000000" w:rsidR="00000000" w:rsidRPr="00000000">
              <w:rPr>
                <w:i w:val="1"/>
                <w:sz w:val="22"/>
                <w:szCs w:val="22"/>
                <w:rtl w:val="0"/>
              </w:rPr>
              <w:t xml:space="preserve">Principles and Practice of Marketing</w:t>
            </w:r>
            <w:r w:rsidDel="00000000" w:rsidR="00000000" w:rsidRPr="00000000">
              <w:rPr>
                <w:sz w:val="22"/>
                <w:szCs w:val="22"/>
                <w:rtl w:val="0"/>
              </w:rPr>
              <w:t xml:space="preserve"> (9</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(Chapter 1) McGraw Hill</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BA International Marketing:</w:t>
            </w:r>
          </w:p>
          <w:p w:rsidR="00000000" w:rsidDel="00000000" w:rsidP="00000000" w:rsidRDefault="00000000" w:rsidRPr="00000000" w14:paraId="00000082">
            <w:pPr>
              <w:rPr>
                <w:sz w:val="22"/>
                <w:szCs w:val="22"/>
              </w:rPr>
            </w:pPr>
            <w:r w:rsidDel="00000000" w:rsidR="00000000" w:rsidRPr="00000000">
              <w:rPr>
                <w:sz w:val="22"/>
                <w:szCs w:val="22"/>
                <w:rtl w:val="0"/>
              </w:rPr>
              <w:t xml:space="preserve">Cateroa, Money, Gilly, Graham </w:t>
            </w:r>
            <w:r w:rsidDel="00000000" w:rsidR="00000000" w:rsidRPr="00000000">
              <w:rPr>
                <w:i w:val="1"/>
                <w:sz w:val="22"/>
                <w:szCs w:val="22"/>
                <w:rtl w:val="0"/>
              </w:rPr>
              <w:t xml:space="preserve">International Marketing</w:t>
            </w:r>
            <w:r w:rsidDel="00000000" w:rsidR="00000000" w:rsidRPr="00000000">
              <w:rPr>
                <w:sz w:val="22"/>
                <w:szCs w:val="22"/>
                <w:rtl w:val="0"/>
              </w:rPr>
              <w:t xml:space="preserve"> (18</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(Chapter 1) McGraw Hill</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BA Marketing Communications:</w:t>
            </w:r>
          </w:p>
          <w:p w:rsidR="00000000" w:rsidDel="00000000" w:rsidP="00000000" w:rsidRDefault="00000000" w:rsidRPr="00000000" w14:paraId="00000085">
            <w:pPr>
              <w:rPr>
                <w:sz w:val="22"/>
                <w:szCs w:val="22"/>
              </w:rPr>
            </w:pPr>
            <w:r w:rsidDel="00000000" w:rsidR="00000000" w:rsidRPr="00000000">
              <w:rPr>
                <w:sz w:val="22"/>
                <w:szCs w:val="22"/>
                <w:rtl w:val="0"/>
              </w:rPr>
              <w:t xml:space="preserve">Smith &amp; Ze Zook </w:t>
            </w:r>
            <w:r w:rsidDel="00000000" w:rsidR="00000000" w:rsidRPr="00000000">
              <w:rPr>
                <w:i w:val="1"/>
                <w:sz w:val="22"/>
                <w:szCs w:val="22"/>
                <w:rtl w:val="0"/>
              </w:rPr>
              <w:t xml:space="preserve">Marketing Communications</w:t>
            </w:r>
            <w:r w:rsidDel="00000000" w:rsidR="00000000" w:rsidRPr="00000000">
              <w:rPr>
                <w:sz w:val="22"/>
                <w:szCs w:val="22"/>
                <w:rtl w:val="0"/>
              </w:rPr>
              <w:t xml:space="preserve"> (6</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(Part 1)</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sz w:val="22"/>
                <w:szCs w:val="22"/>
                <w:rtl w:val="0"/>
              </w:rPr>
              <w:t xml:space="preserve">Of general interest for all three courses:</w:t>
            </w:r>
          </w:p>
          <w:p w:rsidR="00000000" w:rsidDel="00000000" w:rsidP="00000000" w:rsidRDefault="00000000" w:rsidRPr="00000000" w14:paraId="00000088">
            <w:pPr>
              <w:rPr>
                <w:i w:val="1"/>
                <w:sz w:val="22"/>
                <w:szCs w:val="22"/>
              </w:rPr>
            </w:pPr>
            <w:r w:rsidDel="00000000" w:rsidR="00000000" w:rsidRPr="00000000">
              <w:rPr>
                <w:sz w:val="22"/>
                <w:szCs w:val="22"/>
                <w:rtl w:val="0"/>
              </w:rPr>
              <w:t xml:space="preserve">Visser, Sikkenga, Berry </w:t>
            </w:r>
            <w:r w:rsidDel="00000000" w:rsidR="00000000" w:rsidRPr="00000000">
              <w:rPr>
                <w:i w:val="1"/>
                <w:sz w:val="22"/>
                <w:szCs w:val="22"/>
                <w:rtl w:val="0"/>
              </w:rPr>
              <w:t xml:space="preserve">Digital Marketing Fundamentals from Strategy to ROI</w:t>
            </w:r>
          </w:p>
          <w:p w:rsidR="00000000" w:rsidDel="00000000" w:rsidP="00000000" w:rsidRDefault="00000000" w:rsidRPr="00000000" w14:paraId="00000089">
            <w:pPr>
              <w:rPr>
                <w:i w:val="1"/>
                <w:sz w:val="22"/>
                <w:szCs w:val="22"/>
              </w:rPr>
            </w:pPr>
            <w:r w:rsidDel="00000000" w:rsidR="00000000" w:rsidRPr="00000000">
              <w:rPr>
                <w:rtl w:val="0"/>
              </w:rPr>
            </w:r>
          </w:p>
          <w:p w:rsidR="00000000" w:rsidDel="00000000" w:rsidP="00000000" w:rsidRDefault="00000000" w:rsidRPr="00000000" w14:paraId="0000008A">
            <w:pPr>
              <w:rPr>
                <w:i w:val="1"/>
                <w:sz w:val="22"/>
                <w:szCs w:val="22"/>
              </w:rPr>
            </w:pPr>
            <w:r w:rsidDel="00000000" w:rsidR="00000000" w:rsidRPr="00000000">
              <w:rPr>
                <w:sz w:val="22"/>
                <w:szCs w:val="22"/>
                <w:rtl w:val="0"/>
              </w:rPr>
              <w:t xml:space="preserve">J.E Ford</w:t>
            </w:r>
            <w:r w:rsidDel="00000000" w:rsidR="00000000" w:rsidRPr="00000000">
              <w:rPr>
                <w:i w:val="1"/>
                <w:sz w:val="22"/>
                <w:szCs w:val="22"/>
                <w:rtl w:val="0"/>
              </w:rPr>
              <w:t xml:space="preserve"> Social Media Marketing for the Future </w:t>
            </w:r>
          </w:p>
          <w:p w:rsidR="00000000" w:rsidDel="00000000" w:rsidP="00000000" w:rsidRDefault="00000000" w:rsidRPr="00000000" w14:paraId="0000008B">
            <w:pPr>
              <w:rPr>
                <w:i w:val="1"/>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You should also read the marketing press such as Marketing Week or Campaign   which you can register for (free) online. </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The Economist also has regular articles of interest.</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ADDITIONAL INFORMATION</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The Marketing Challenge will be based on the Tower of London. It is planned that students will visit the Tower on Thursday, September 19.  This is subject to confirmation. </w:t>
            </w:r>
          </w:p>
        </w:tc>
      </w:tr>
    </w:tbl>
    <w:p w:rsidR="00000000" w:rsidDel="00000000" w:rsidP="00000000" w:rsidRDefault="00000000" w:rsidRPr="00000000" w14:paraId="00000093">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BalloonText">
    <w:name w:val="Balloon Text"/>
    <w:basedOn w:val="Normal"/>
    <w:link w:val="BalloonTextChar"/>
    <w:uiPriority w:val="99"/>
    <w:semiHidden w:val="1"/>
    <w:unhideWhenUsed w:val="1"/>
    <w:rsid w:val="00CB41A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41A2"/>
    <w:rPr>
      <w:rFonts w:ascii="Segoe UI" w:cs="Segoe UI" w:hAnsi="Segoe UI"/>
      <w:sz w:val="18"/>
      <w:szCs w:val="18"/>
    </w:rPr>
  </w:style>
  <w:style w:type="paragraph" w:styleId="NormalWeb">
    <w:name w:val="Normal (Web)"/>
    <w:basedOn w:val="Normal"/>
    <w:uiPriority w:val="99"/>
    <w:semiHidden w:val="1"/>
    <w:unhideWhenUsed w:val="1"/>
    <w:rsid w:val="009601A1"/>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hNw8gvevjNW96G6vqgW7zH+mA==">AMUW2mUlmCtMw/KC2f762o45ih6RyskzxFSchtMkYqlakA6RqMHeX9Ci9anHUrF1jTZIgFf565k/sSVeDAxo2Icm/J1wqfDgd8kGn+R7aYFNhAIYZenIrDwgVa2qWIgNuPKaCsGqJNJV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