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300" w:rsidRDefault="00E52D1F">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142240</wp:posOffset>
            </wp:positionV>
            <wp:extent cx="3860165" cy="961390"/>
            <wp:effectExtent l="0" t="0" r="0" b="0"/>
            <wp:wrapSquare wrapText="bothSides" distT="0" distB="0" distL="114300" distR="114300"/>
            <wp:docPr id="2" name="image1.png" descr="WBSlogo300"/>
            <wp:cNvGraphicFramePr/>
            <a:graphic xmlns:a="http://schemas.openxmlformats.org/drawingml/2006/main">
              <a:graphicData uri="http://schemas.openxmlformats.org/drawingml/2006/picture">
                <pic:pic xmlns:pic="http://schemas.openxmlformats.org/drawingml/2006/picture">
                  <pic:nvPicPr>
                    <pic:cNvPr id="0" name="image1.png" descr="WBSlogo300"/>
                    <pic:cNvPicPr preferRelativeResize="0"/>
                  </pic:nvPicPr>
                  <pic:blipFill>
                    <a:blip r:embed="rId6"/>
                    <a:srcRect/>
                    <a:stretch>
                      <a:fillRect/>
                    </a:stretch>
                  </pic:blipFill>
                  <pic:spPr>
                    <a:xfrm>
                      <a:off x="0" y="0"/>
                      <a:ext cx="3860165" cy="961390"/>
                    </a:xfrm>
                    <a:prstGeom prst="rect">
                      <a:avLst/>
                    </a:prstGeom>
                    <a:ln/>
                  </pic:spPr>
                </pic:pic>
              </a:graphicData>
            </a:graphic>
          </wp:anchor>
        </w:drawing>
      </w:r>
    </w:p>
    <w:p w:rsidR="006E3300" w:rsidRDefault="006E3300"/>
    <w:p w:rsidR="006E3300" w:rsidRDefault="006E3300"/>
    <w:p w:rsidR="006E3300" w:rsidRDefault="006E3300"/>
    <w:p w:rsidR="006E3300" w:rsidRDefault="006E3300"/>
    <w:p w:rsidR="006E3300" w:rsidRDefault="006E3300"/>
    <w:p w:rsidR="006E3300" w:rsidRDefault="006E3300"/>
    <w:p w:rsidR="006E3300" w:rsidRDefault="006E3300"/>
    <w:tbl>
      <w:tblPr>
        <w:tblStyle w:val="a"/>
        <w:tblW w:w="11586" w:type="dxa"/>
        <w:jc w:val="center"/>
        <w:tblBorders>
          <w:top w:val="nil"/>
          <w:left w:val="nil"/>
          <w:bottom w:val="nil"/>
          <w:right w:val="nil"/>
          <w:insideH w:val="nil"/>
          <w:insideV w:val="nil"/>
        </w:tblBorders>
        <w:tblLayout w:type="fixed"/>
        <w:tblLook w:val="0400" w:firstRow="0" w:lastRow="0" w:firstColumn="0" w:lastColumn="0" w:noHBand="0" w:noVBand="1"/>
      </w:tblPr>
      <w:tblGrid>
        <w:gridCol w:w="3466"/>
        <w:gridCol w:w="4731"/>
        <w:gridCol w:w="3389"/>
      </w:tblGrid>
      <w:tr w:rsidR="006E3300">
        <w:trPr>
          <w:jc w:val="center"/>
        </w:trPr>
        <w:tc>
          <w:tcPr>
            <w:tcW w:w="11587" w:type="dxa"/>
            <w:gridSpan w:val="3"/>
            <w:tcBorders>
              <w:top w:val="single" w:sz="18" w:space="0" w:color="147ABD"/>
              <w:left w:val="single" w:sz="18" w:space="0" w:color="147ABD"/>
              <w:bottom w:val="single" w:sz="18" w:space="0" w:color="147ABD"/>
              <w:right w:val="single" w:sz="18" w:space="0" w:color="147ABD"/>
            </w:tcBorders>
            <w:shd w:val="clear" w:color="auto" w:fill="auto"/>
          </w:tcPr>
          <w:p w:rsidR="006E3300" w:rsidRDefault="00E52D1F">
            <w:pPr>
              <w:pStyle w:val="Title"/>
              <w:rPr>
                <w:rFonts w:ascii="Arial" w:eastAsia="Arial" w:hAnsi="Arial" w:cs="Arial"/>
                <w:b/>
                <w:sz w:val="24"/>
                <w:szCs w:val="24"/>
              </w:rPr>
            </w:pPr>
            <w:r>
              <w:rPr>
                <w:rFonts w:ascii="Arial" w:eastAsia="Arial" w:hAnsi="Arial" w:cs="Arial"/>
                <w:b/>
                <w:sz w:val="24"/>
                <w:szCs w:val="24"/>
              </w:rPr>
              <w:t>ORIENTATION WEEK</w:t>
            </w:r>
          </w:p>
          <w:p w:rsidR="006E3300" w:rsidRDefault="00E52D1F">
            <w:pPr>
              <w:pStyle w:val="Title"/>
              <w:rPr>
                <w:rFonts w:ascii="Arial" w:eastAsia="Arial" w:hAnsi="Arial" w:cs="Arial"/>
                <w:sz w:val="22"/>
                <w:szCs w:val="22"/>
              </w:rPr>
            </w:pPr>
            <w:r>
              <w:rPr>
                <w:rFonts w:ascii="Arial" w:eastAsia="Arial" w:hAnsi="Arial" w:cs="Arial"/>
                <w:b/>
                <w:sz w:val="24"/>
                <w:szCs w:val="24"/>
              </w:rPr>
              <w:t>BSc (Hons) Finance</w:t>
            </w:r>
            <w:r>
              <w:rPr>
                <w:rFonts w:ascii="Arial" w:eastAsia="Arial" w:hAnsi="Arial" w:cs="Arial"/>
                <w:sz w:val="22"/>
                <w:szCs w:val="22"/>
              </w:rPr>
              <w:t xml:space="preserve"> </w:t>
            </w:r>
          </w:p>
        </w:tc>
      </w:tr>
      <w:tr w:rsidR="006E3300">
        <w:trPr>
          <w:trHeight w:val="560"/>
          <w:jc w:val="center"/>
        </w:trPr>
        <w:tc>
          <w:tcPr>
            <w:tcW w:w="11587" w:type="dxa"/>
            <w:gridSpan w:val="3"/>
            <w:tcBorders>
              <w:left w:val="single" w:sz="18" w:space="0" w:color="147ABD"/>
              <w:right w:val="single" w:sz="18" w:space="0" w:color="147ABD"/>
            </w:tcBorders>
            <w:vAlign w:val="center"/>
          </w:tcPr>
          <w:p w:rsidR="006E3300" w:rsidRDefault="006E3300">
            <w:pPr>
              <w:pStyle w:val="Heading1"/>
              <w:spacing w:before="240"/>
              <w:ind w:left="567"/>
              <w:rPr>
                <w:sz w:val="22"/>
                <w:szCs w:val="22"/>
              </w:rPr>
            </w:pPr>
          </w:p>
          <w:p w:rsidR="006E3300" w:rsidRDefault="00E52D1F">
            <w:pPr>
              <w:pStyle w:val="Heading1"/>
              <w:ind w:left="567"/>
              <w:rPr>
                <w:sz w:val="22"/>
                <w:szCs w:val="22"/>
              </w:rPr>
            </w:pPr>
            <w:r>
              <w:rPr>
                <w:sz w:val="22"/>
                <w:szCs w:val="22"/>
              </w:rPr>
              <w:t>Head of school WELCOME</w:t>
            </w:r>
          </w:p>
          <w:p w:rsidR="006E3300" w:rsidRDefault="00E52D1F">
            <w:pPr>
              <w:spacing w:before="240" w:line="261" w:lineRule="auto"/>
              <w:ind w:left="567" w:right="396"/>
              <w:rPr>
                <w:sz w:val="22"/>
                <w:szCs w:val="22"/>
              </w:rPr>
            </w:pPr>
            <w:r>
              <w:rPr>
                <w:sz w:val="22"/>
                <w:szCs w:val="22"/>
              </w:rPr>
              <w:t>A warm welcome to all of you. The School of Finance and Accounting (SFA) is one of the four Schools within the Westminster Business School College portfolio. It is one of the leading providers of finance and accounting education in London, with strong link</w:t>
            </w:r>
            <w:r>
              <w:rPr>
                <w:sz w:val="22"/>
                <w:szCs w:val="22"/>
              </w:rPr>
              <w:t xml:space="preserve">s with industry and professional bodies. </w:t>
            </w:r>
          </w:p>
          <w:p w:rsidR="006E3300" w:rsidRDefault="00E52D1F">
            <w:pPr>
              <w:spacing w:before="240" w:line="261" w:lineRule="auto"/>
              <w:ind w:left="567" w:right="396"/>
              <w:rPr>
                <w:sz w:val="22"/>
                <w:szCs w:val="22"/>
              </w:rPr>
            </w:pPr>
            <w:r>
              <w:rPr>
                <w:sz w:val="22"/>
                <w:szCs w:val="22"/>
              </w:rPr>
              <w:t>You are joining a diverse and inclusive community of learners and practitioners. Your School of Finance and Accounting has created an exciting range of innovative courses and learning experiences to build your care</w:t>
            </w:r>
            <w:r>
              <w:rPr>
                <w:sz w:val="22"/>
                <w:szCs w:val="22"/>
              </w:rPr>
              <w:t>er. On this this exciting journey, we aim to prepare you with strong theoretical foundations in your chosen subject, and to nurture valuable practical skills to prepare you for the world of work. We pride ourselves on our ability to deliver top quality gra</w:t>
            </w:r>
            <w:r>
              <w:rPr>
                <w:sz w:val="22"/>
                <w:szCs w:val="22"/>
              </w:rPr>
              <w:t xml:space="preserve">duate talent to the Financial Services industry. Your study </w:t>
            </w:r>
            <w:proofErr w:type="spellStart"/>
            <w:r>
              <w:rPr>
                <w:sz w:val="22"/>
                <w:szCs w:val="22"/>
              </w:rPr>
              <w:t>programme</w:t>
            </w:r>
            <w:proofErr w:type="spellEnd"/>
            <w:r>
              <w:rPr>
                <w:sz w:val="22"/>
                <w:szCs w:val="22"/>
              </w:rPr>
              <w:t xml:space="preserve"> has been carefully designed in the form of a high-quality academic course led by a vibrant and enthusiastic community of supportive and inspiring professional staff. We are committed to </w:t>
            </w:r>
            <w:r>
              <w:rPr>
                <w:sz w:val="22"/>
                <w:szCs w:val="22"/>
              </w:rPr>
              <w:t xml:space="preserve">meeting your employability, life and </w:t>
            </w:r>
            <w:proofErr w:type="spellStart"/>
            <w:r>
              <w:rPr>
                <w:sz w:val="22"/>
                <w:szCs w:val="22"/>
              </w:rPr>
              <w:t>organisational</w:t>
            </w:r>
            <w:proofErr w:type="spellEnd"/>
            <w:r>
              <w:rPr>
                <w:sz w:val="22"/>
                <w:szCs w:val="22"/>
              </w:rPr>
              <w:t xml:space="preserve"> goals and to provide our wider communities with future global citizens. In this exciting journey of your transformation, we will invite you to work with us to shape your individual learning experiences so</w:t>
            </w:r>
            <w:r>
              <w:rPr>
                <w:sz w:val="22"/>
                <w:szCs w:val="22"/>
              </w:rPr>
              <w:t xml:space="preserve"> that you can </w:t>
            </w:r>
            <w:proofErr w:type="spellStart"/>
            <w:r>
              <w:rPr>
                <w:sz w:val="22"/>
                <w:szCs w:val="22"/>
              </w:rPr>
              <w:t>maximise</w:t>
            </w:r>
            <w:proofErr w:type="spellEnd"/>
            <w:r>
              <w:rPr>
                <w:sz w:val="22"/>
                <w:szCs w:val="22"/>
              </w:rPr>
              <w:t xml:space="preserve"> your chances to meet your ambitions. </w:t>
            </w:r>
          </w:p>
          <w:p w:rsidR="006E3300" w:rsidRDefault="00E52D1F">
            <w:pPr>
              <w:spacing w:before="240" w:line="261" w:lineRule="auto"/>
              <w:ind w:left="567" w:right="396"/>
              <w:rPr>
                <w:b/>
                <w:color w:val="000000"/>
                <w:sz w:val="22"/>
                <w:szCs w:val="22"/>
              </w:rPr>
            </w:pPr>
            <w:r>
              <w:rPr>
                <w:b/>
                <w:sz w:val="22"/>
                <w:szCs w:val="22"/>
              </w:rPr>
              <w:t xml:space="preserve">Professor Harry Thapar, </w:t>
            </w:r>
          </w:p>
          <w:p w:rsidR="006E3300" w:rsidRDefault="00E52D1F">
            <w:pPr>
              <w:spacing w:before="240"/>
              <w:ind w:left="567" w:right="-20"/>
              <w:rPr>
                <w:b/>
                <w:sz w:val="22"/>
                <w:szCs w:val="22"/>
              </w:rPr>
            </w:pPr>
            <w:r>
              <w:rPr>
                <w:b/>
                <w:sz w:val="22"/>
                <w:szCs w:val="22"/>
              </w:rPr>
              <w:t xml:space="preserve">Head of the School of Finance and Accounting </w:t>
            </w:r>
          </w:p>
          <w:p w:rsidR="006E3300" w:rsidRDefault="00E52D1F">
            <w:pPr>
              <w:spacing w:before="240"/>
              <w:ind w:left="567" w:right="-20"/>
              <w:rPr>
                <w:sz w:val="22"/>
                <w:szCs w:val="22"/>
              </w:rPr>
            </w:pPr>
            <w:r>
              <w:rPr>
                <w:sz w:val="22"/>
                <w:szCs w:val="22"/>
              </w:rPr>
              <w:t xml:space="preserve">Email: </w:t>
            </w:r>
            <w:hyperlink r:id="rId7">
              <w:r>
                <w:rPr>
                  <w:color w:val="0000FF"/>
                  <w:sz w:val="22"/>
                  <w:szCs w:val="22"/>
                  <w:u w:val="single"/>
                </w:rPr>
                <w:t>thaparh@westminster.ac.uk</w:t>
              </w:r>
            </w:hyperlink>
          </w:p>
        </w:tc>
      </w:tr>
      <w:tr w:rsidR="006E3300">
        <w:trPr>
          <w:trHeight w:val="220"/>
          <w:jc w:val="center"/>
        </w:trPr>
        <w:tc>
          <w:tcPr>
            <w:tcW w:w="11587" w:type="dxa"/>
            <w:gridSpan w:val="3"/>
            <w:tcBorders>
              <w:left w:val="single" w:sz="18" w:space="0" w:color="147ABD"/>
              <w:right w:val="single" w:sz="18" w:space="0" w:color="147ABD"/>
            </w:tcBorders>
            <w:vAlign w:val="center"/>
          </w:tcPr>
          <w:p w:rsidR="006E3300" w:rsidRDefault="00E52D1F">
            <w:pPr>
              <w:pStyle w:val="Heading1"/>
              <w:spacing w:before="240"/>
              <w:ind w:left="567"/>
              <w:rPr>
                <w:sz w:val="22"/>
                <w:szCs w:val="22"/>
              </w:rPr>
            </w:pPr>
            <w:r>
              <w:rPr>
                <w:sz w:val="22"/>
                <w:szCs w:val="22"/>
              </w:rPr>
              <w:t>COURSE LEADER WELCOME</w:t>
            </w:r>
          </w:p>
          <w:p w:rsidR="006E3300" w:rsidRDefault="00E52D1F">
            <w:pPr>
              <w:spacing w:before="240" w:line="242" w:lineRule="auto"/>
              <w:ind w:left="567" w:right="5405"/>
              <w:rPr>
                <w:sz w:val="22"/>
                <w:szCs w:val="22"/>
              </w:rPr>
            </w:pPr>
            <w:r>
              <w:rPr>
                <w:sz w:val="22"/>
                <w:szCs w:val="22"/>
              </w:rPr>
              <w:t>Dear Student</w:t>
            </w:r>
          </w:p>
          <w:p w:rsidR="006E3300" w:rsidRDefault="00E52D1F">
            <w:pPr>
              <w:pBdr>
                <w:top w:val="nil"/>
                <w:left w:val="nil"/>
                <w:bottom w:val="nil"/>
                <w:right w:val="nil"/>
                <w:between w:val="nil"/>
              </w:pBdr>
              <w:spacing w:before="240" w:after="280"/>
              <w:ind w:left="567"/>
              <w:rPr>
                <w:color w:val="000000"/>
                <w:sz w:val="22"/>
                <w:szCs w:val="22"/>
              </w:rPr>
            </w:pPr>
            <w:r>
              <w:rPr>
                <w:color w:val="000000"/>
                <w:sz w:val="22"/>
                <w:szCs w:val="22"/>
              </w:rPr>
              <w:t xml:space="preserve">Congratulations on getting to this part of your academic journey and a warm welcome to the BSc (Hons) Finance degree </w:t>
            </w:r>
            <w:proofErr w:type="spellStart"/>
            <w:r>
              <w:rPr>
                <w:color w:val="000000"/>
                <w:sz w:val="22"/>
                <w:szCs w:val="22"/>
              </w:rPr>
              <w:t>programme</w:t>
            </w:r>
            <w:proofErr w:type="spellEnd"/>
            <w:r>
              <w:rPr>
                <w:color w:val="000000"/>
                <w:sz w:val="22"/>
                <w:szCs w:val="22"/>
              </w:rPr>
              <w:t xml:space="preserve"> at the University of Westminster. </w:t>
            </w:r>
          </w:p>
          <w:p w:rsidR="006E3300" w:rsidRDefault="00E52D1F">
            <w:pPr>
              <w:pBdr>
                <w:top w:val="nil"/>
                <w:left w:val="nil"/>
                <w:bottom w:val="nil"/>
                <w:right w:val="nil"/>
                <w:between w:val="nil"/>
              </w:pBdr>
              <w:spacing w:before="240" w:after="280"/>
              <w:ind w:left="567"/>
              <w:rPr>
                <w:color w:val="000000"/>
                <w:sz w:val="22"/>
                <w:szCs w:val="22"/>
              </w:rPr>
            </w:pPr>
            <w:r>
              <w:rPr>
                <w:color w:val="000000"/>
                <w:sz w:val="22"/>
                <w:szCs w:val="22"/>
              </w:rPr>
              <w:t>As your Course Leader, I am looking forward to meeting you in September. The School of Finance and Accounting is an exciting and inspiring environment to study Accounting. BSc Finance is a stimulating and challenging degree. It will give you the opportunit</w:t>
            </w:r>
            <w:r>
              <w:rPr>
                <w:color w:val="000000"/>
                <w:sz w:val="22"/>
                <w:szCs w:val="22"/>
              </w:rPr>
              <w:t>y to study the conceptual and applied aspects of the subject area and the financial services environment in which Finance professionals operate.</w:t>
            </w:r>
          </w:p>
          <w:p w:rsidR="006E3300" w:rsidRDefault="00E52D1F">
            <w:pPr>
              <w:pBdr>
                <w:top w:val="nil"/>
                <w:left w:val="nil"/>
                <w:bottom w:val="nil"/>
                <w:right w:val="nil"/>
                <w:between w:val="nil"/>
              </w:pBdr>
              <w:spacing w:before="240" w:after="280"/>
              <w:ind w:left="567"/>
              <w:rPr>
                <w:color w:val="000000"/>
                <w:sz w:val="22"/>
                <w:szCs w:val="22"/>
              </w:rPr>
            </w:pPr>
            <w:r>
              <w:rPr>
                <w:color w:val="000000"/>
                <w:sz w:val="22"/>
                <w:szCs w:val="22"/>
              </w:rPr>
              <w:t xml:space="preserve">In addition, your course has been designed to embed the CFA Level 1 Candidate Body of Knowledge, including the </w:t>
            </w:r>
            <w:r>
              <w:rPr>
                <w:color w:val="000000"/>
                <w:sz w:val="22"/>
                <w:szCs w:val="22"/>
              </w:rPr>
              <w:t xml:space="preserve">Code of Ethics and Standards of Professional Conduct into the curriculum. We are an Affiliated University with the CFA </w:t>
            </w:r>
            <w:proofErr w:type="spellStart"/>
            <w:r>
              <w:rPr>
                <w:color w:val="000000"/>
                <w:sz w:val="22"/>
                <w:szCs w:val="22"/>
              </w:rPr>
              <w:t>Programme</w:t>
            </w:r>
            <w:proofErr w:type="spellEnd"/>
            <w:r>
              <w:rPr>
                <w:color w:val="000000"/>
                <w:sz w:val="22"/>
                <w:szCs w:val="22"/>
              </w:rPr>
              <w:t>. This recognition by the CFA is a signal to our students and employers that our learning experience is closely tied to the prac</w:t>
            </w:r>
            <w:r>
              <w:rPr>
                <w:color w:val="000000"/>
                <w:sz w:val="22"/>
                <w:szCs w:val="22"/>
              </w:rPr>
              <w:t xml:space="preserve">tice of investment management that is helpful for students who wish to prepare for the CFA </w:t>
            </w:r>
            <w:proofErr w:type="spellStart"/>
            <w:r>
              <w:rPr>
                <w:color w:val="000000"/>
                <w:sz w:val="22"/>
                <w:szCs w:val="22"/>
              </w:rPr>
              <w:t>programme</w:t>
            </w:r>
            <w:proofErr w:type="spellEnd"/>
            <w:r>
              <w:rPr>
                <w:color w:val="000000"/>
                <w:sz w:val="22"/>
                <w:szCs w:val="22"/>
              </w:rPr>
              <w:t xml:space="preserve"> exams. </w:t>
            </w:r>
          </w:p>
          <w:p w:rsidR="006E3300" w:rsidRDefault="00E52D1F">
            <w:pPr>
              <w:spacing w:before="240" w:line="261" w:lineRule="auto"/>
              <w:ind w:left="567" w:right="396"/>
              <w:rPr>
                <w:color w:val="000000"/>
                <w:sz w:val="22"/>
                <w:szCs w:val="22"/>
              </w:rPr>
            </w:pPr>
            <w:r>
              <w:rPr>
                <w:color w:val="000000"/>
                <w:sz w:val="22"/>
                <w:szCs w:val="22"/>
              </w:rPr>
              <w:lastRenderedPageBreak/>
              <w:t>Your experience here will help you develop a strong insight into many aspects of business life, allowing you to develop your own knowledge and skil</w:t>
            </w:r>
            <w:r>
              <w:rPr>
                <w:color w:val="000000"/>
                <w:sz w:val="22"/>
                <w:szCs w:val="22"/>
              </w:rPr>
              <w:t xml:space="preserve">ls. To help you settle into Westminster Business School we have arranged an orientation </w:t>
            </w:r>
            <w:proofErr w:type="spellStart"/>
            <w:r>
              <w:rPr>
                <w:color w:val="000000"/>
                <w:sz w:val="22"/>
                <w:szCs w:val="22"/>
              </w:rPr>
              <w:t>programme</w:t>
            </w:r>
            <w:proofErr w:type="spellEnd"/>
            <w:r>
              <w:rPr>
                <w:color w:val="000000"/>
                <w:sz w:val="22"/>
                <w:szCs w:val="22"/>
              </w:rPr>
              <w:t xml:space="preserve"> with </w:t>
            </w:r>
            <w:proofErr w:type="gramStart"/>
            <w:r>
              <w:rPr>
                <w:color w:val="000000"/>
                <w:sz w:val="22"/>
                <w:szCs w:val="22"/>
              </w:rPr>
              <w:t>a number of</w:t>
            </w:r>
            <w:proofErr w:type="gramEnd"/>
            <w:r>
              <w:rPr>
                <w:color w:val="000000"/>
                <w:sz w:val="22"/>
                <w:szCs w:val="22"/>
              </w:rPr>
              <w:t xml:space="preserve"> events that I hope you will find informative, educational and entertaining, plus giving you an opportunity to meet other students on your cou</w:t>
            </w:r>
            <w:r>
              <w:rPr>
                <w:color w:val="000000"/>
                <w:sz w:val="22"/>
                <w:szCs w:val="22"/>
              </w:rPr>
              <w:t xml:space="preserve">rse, meet the teaching staff, help you find your way around the campus and answer your questions. </w:t>
            </w:r>
          </w:p>
          <w:p w:rsidR="006E3300" w:rsidRDefault="00E52D1F">
            <w:pPr>
              <w:spacing w:before="240"/>
              <w:ind w:left="567" w:right="-20"/>
              <w:rPr>
                <w:sz w:val="22"/>
                <w:szCs w:val="22"/>
              </w:rPr>
            </w:pPr>
            <w:r>
              <w:rPr>
                <w:sz w:val="22"/>
                <w:szCs w:val="22"/>
              </w:rPr>
              <w:t xml:space="preserve">We very much look forward to seeing you on </w:t>
            </w:r>
            <w:r>
              <w:rPr>
                <w:b/>
                <w:sz w:val="22"/>
                <w:szCs w:val="22"/>
              </w:rPr>
              <w:t>Monday 16th September 2019.</w:t>
            </w:r>
          </w:p>
        </w:tc>
      </w:tr>
      <w:tr w:rsidR="006E3300">
        <w:trPr>
          <w:trHeight w:val="220"/>
          <w:jc w:val="center"/>
        </w:trPr>
        <w:tc>
          <w:tcPr>
            <w:tcW w:w="11587" w:type="dxa"/>
            <w:gridSpan w:val="3"/>
            <w:tcBorders>
              <w:left w:val="single" w:sz="18" w:space="0" w:color="147ABD"/>
              <w:bottom w:val="single" w:sz="8" w:space="0" w:color="147ABD"/>
              <w:right w:val="single" w:sz="18" w:space="0" w:color="147ABD"/>
            </w:tcBorders>
            <w:tcMar>
              <w:bottom w:w="144" w:type="dxa"/>
            </w:tcMar>
            <w:vAlign w:val="center"/>
          </w:tcPr>
          <w:p w:rsidR="006E3300" w:rsidRDefault="006E3300">
            <w:pPr>
              <w:ind w:left="574"/>
              <w:rPr>
                <w:b/>
                <w:sz w:val="22"/>
                <w:szCs w:val="22"/>
              </w:rPr>
            </w:pPr>
          </w:p>
          <w:p w:rsidR="006E3300" w:rsidRDefault="00E52D1F">
            <w:pPr>
              <w:ind w:left="574"/>
              <w:rPr>
                <w:b/>
                <w:sz w:val="22"/>
                <w:szCs w:val="22"/>
              </w:rPr>
            </w:pPr>
            <w:r>
              <w:rPr>
                <w:b/>
                <w:sz w:val="22"/>
                <w:szCs w:val="22"/>
              </w:rPr>
              <w:t>Dr Abdelhafid Benamraoui</w:t>
            </w:r>
          </w:p>
          <w:p w:rsidR="006E3300" w:rsidRDefault="00E52D1F">
            <w:pPr>
              <w:ind w:left="574"/>
              <w:rPr>
                <w:b/>
                <w:color w:val="FF0000"/>
                <w:sz w:val="22"/>
                <w:szCs w:val="22"/>
              </w:rPr>
            </w:pPr>
            <w:r>
              <w:rPr>
                <w:b/>
                <w:sz w:val="22"/>
                <w:szCs w:val="22"/>
              </w:rPr>
              <w:t>Course Leader</w:t>
            </w:r>
          </w:p>
        </w:tc>
      </w:tr>
      <w:tr w:rsidR="006E3300">
        <w:trPr>
          <w:trHeight w:val="3440"/>
          <w:jc w:val="center"/>
        </w:trPr>
        <w:tc>
          <w:tcPr>
            <w:tcW w:w="11587"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rsidR="006E3300" w:rsidRDefault="006E3300">
            <w:pPr>
              <w:widowControl w:val="0"/>
              <w:pBdr>
                <w:top w:val="nil"/>
                <w:left w:val="nil"/>
                <w:bottom w:val="nil"/>
                <w:right w:val="nil"/>
                <w:between w:val="nil"/>
              </w:pBdr>
              <w:spacing w:line="276" w:lineRule="auto"/>
              <w:rPr>
                <w:b/>
                <w:color w:val="FF0000"/>
                <w:sz w:val="22"/>
                <w:szCs w:val="22"/>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6E3300">
              <w:tc>
                <w:tcPr>
                  <w:tcW w:w="10086" w:type="dxa"/>
                  <w:gridSpan w:val="3"/>
                  <w:shd w:val="clear" w:color="auto" w:fill="92CCF3"/>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Monday 16</w:t>
                  </w:r>
                  <w:r>
                    <w:rPr>
                      <w:b/>
                      <w:color w:val="000000"/>
                      <w:sz w:val="22"/>
                      <w:szCs w:val="22"/>
                      <w:vertAlign w:val="superscript"/>
                    </w:rPr>
                    <w:t>th</w:t>
                  </w:r>
                  <w:r>
                    <w:rPr>
                      <w:b/>
                      <w:color w:val="000000"/>
                      <w:sz w:val="22"/>
                      <w:szCs w:val="22"/>
                    </w:rPr>
                    <w:t xml:space="preserve"> September 2019</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14:00 – 14:30</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Welcome to the School of Finance and Accounting</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Hogg Lecture Theatre</w:t>
                  </w:r>
                </w:p>
                <w:p w:rsidR="006E3300" w:rsidRDefault="00E52D1F">
                  <w:pPr>
                    <w:pBdr>
                      <w:top w:val="nil"/>
                      <w:left w:val="nil"/>
                      <w:bottom w:val="nil"/>
                      <w:right w:val="nil"/>
                      <w:between w:val="nil"/>
                    </w:pBdr>
                    <w:spacing w:after="120"/>
                    <w:jc w:val="center"/>
                    <w:rPr>
                      <w:color w:val="000000"/>
                      <w:sz w:val="22"/>
                      <w:szCs w:val="22"/>
                    </w:rPr>
                  </w:pPr>
                  <w:r>
                    <w:rPr>
                      <w:color w:val="000000"/>
                      <w:sz w:val="22"/>
                      <w:szCs w:val="22"/>
                    </w:rPr>
                    <w:t>Marylebone Campus</w:t>
                  </w:r>
                </w:p>
                <w:p w:rsidR="006E3300" w:rsidRDefault="00E52D1F">
                  <w:pPr>
                    <w:pBdr>
                      <w:top w:val="nil"/>
                      <w:left w:val="nil"/>
                      <w:bottom w:val="nil"/>
                      <w:right w:val="nil"/>
                      <w:between w:val="nil"/>
                    </w:pBdr>
                    <w:spacing w:after="120"/>
                    <w:jc w:val="center"/>
                    <w:rPr>
                      <w:sz w:val="22"/>
                      <w:szCs w:val="22"/>
                    </w:rPr>
                  </w:pPr>
                  <w:r>
                    <w:rPr>
                      <w:sz w:val="22"/>
                      <w:szCs w:val="22"/>
                    </w:rPr>
                    <w:t>35 Marylebone Rd, Marylebone, London NW1 5LS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15:00 – 17:00</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 xml:space="preserve">Social Event </w:t>
                  </w:r>
                </w:p>
                <w:p w:rsidR="006E3300" w:rsidRDefault="00E52D1F">
                  <w:pPr>
                    <w:pBdr>
                      <w:top w:val="nil"/>
                      <w:left w:val="nil"/>
                      <w:bottom w:val="nil"/>
                      <w:right w:val="nil"/>
                      <w:between w:val="nil"/>
                    </w:pBdr>
                    <w:spacing w:after="120"/>
                    <w:jc w:val="center"/>
                    <w:rPr>
                      <w:color w:val="000000"/>
                      <w:sz w:val="22"/>
                      <w:szCs w:val="22"/>
                    </w:rPr>
                  </w:pPr>
                  <w:r>
                    <w:rPr>
                      <w:color w:val="000000"/>
                      <w:sz w:val="22"/>
                      <w:szCs w:val="22"/>
                    </w:rPr>
                    <w:t>(Meet staff and students)</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MG14</w:t>
                  </w:r>
                </w:p>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p w:rsidR="006E3300" w:rsidRDefault="006E3300">
            <w:pPr>
              <w:pBdr>
                <w:top w:val="nil"/>
                <w:left w:val="nil"/>
                <w:bottom w:val="nil"/>
                <w:right w:val="nil"/>
                <w:between w:val="nil"/>
              </w:pBdr>
              <w:spacing w:after="120"/>
              <w:jc w:val="center"/>
              <w:rPr>
                <w:b/>
                <w:color w:val="000000"/>
                <w:sz w:val="22"/>
                <w:szCs w:val="22"/>
              </w:rPr>
            </w:pPr>
          </w:p>
          <w:tbl>
            <w:tblPr>
              <w:tblStyle w:val="a1"/>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6E3300">
              <w:tc>
                <w:tcPr>
                  <w:tcW w:w="10086" w:type="dxa"/>
                  <w:gridSpan w:val="3"/>
                  <w:shd w:val="clear" w:color="auto" w:fill="92CCF3"/>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Tuesday 17</w:t>
                  </w:r>
                  <w:r>
                    <w:rPr>
                      <w:b/>
                      <w:color w:val="000000"/>
                      <w:sz w:val="22"/>
                      <w:szCs w:val="22"/>
                      <w:vertAlign w:val="superscript"/>
                    </w:rPr>
                    <w:t>th</w:t>
                  </w:r>
                  <w:r>
                    <w:rPr>
                      <w:b/>
                      <w:color w:val="000000"/>
                      <w:sz w:val="22"/>
                      <w:szCs w:val="22"/>
                    </w:rPr>
                    <w:t xml:space="preserve"> September 2019</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10</w:t>
                  </w:r>
                  <w:r>
                    <w:rPr>
                      <w:b/>
                      <w:color w:val="000000"/>
                      <w:sz w:val="22"/>
                      <w:szCs w:val="22"/>
                    </w:rPr>
                    <w:t>:00 – 11</w:t>
                  </w:r>
                  <w:bookmarkStart w:id="1" w:name="_GoBack"/>
                  <w:bookmarkEnd w:id="1"/>
                  <w:r>
                    <w:rPr>
                      <w:b/>
                      <w:color w:val="000000"/>
                      <w:sz w:val="22"/>
                      <w:szCs w:val="22"/>
                    </w:rPr>
                    <w:t>:00</w:t>
                  </w:r>
                </w:p>
              </w:tc>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Meet your Course Leader</w:t>
                  </w:r>
                </w:p>
                <w:p w:rsidR="006E3300" w:rsidRDefault="006E3300">
                  <w:pPr>
                    <w:pBdr>
                      <w:top w:val="nil"/>
                      <w:left w:val="nil"/>
                      <w:bottom w:val="nil"/>
                      <w:right w:val="nil"/>
                      <w:between w:val="nil"/>
                    </w:pBdr>
                    <w:spacing w:after="120"/>
                    <w:rPr>
                      <w:color w:val="000000"/>
                      <w:sz w:val="22"/>
                      <w:szCs w:val="22"/>
                    </w:rPr>
                  </w:pP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CG28 (Orla Gough Lecture Theatre)</w:t>
                  </w:r>
                </w:p>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12:00 – 14:00</w:t>
                  </w:r>
                </w:p>
              </w:tc>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Group Activity - Case study</w:t>
                  </w:r>
                </w:p>
                <w:p w:rsidR="006E3300" w:rsidRDefault="00E52D1F">
                  <w:pPr>
                    <w:pBdr>
                      <w:top w:val="nil"/>
                      <w:left w:val="nil"/>
                      <w:bottom w:val="nil"/>
                      <w:right w:val="nil"/>
                      <w:between w:val="nil"/>
                    </w:pBdr>
                    <w:spacing w:after="120"/>
                    <w:rPr>
                      <w:color w:val="000000"/>
                      <w:sz w:val="22"/>
                      <w:szCs w:val="22"/>
                    </w:rPr>
                  </w:pPr>
                  <w:r>
                    <w:rPr>
                      <w:color w:val="000000"/>
                      <w:sz w:val="22"/>
                      <w:szCs w:val="22"/>
                    </w:rPr>
                    <w:t xml:space="preserve">This is also an opportunity to discuss a case study, meet your fellow students and the course team. </w:t>
                  </w:r>
                </w:p>
              </w:tc>
              <w:tc>
                <w:tcPr>
                  <w:tcW w:w="3362" w:type="dxa"/>
                  <w:shd w:val="clear" w:color="auto" w:fill="auto"/>
                </w:tcPr>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Room to be confirmed in preceding session</w:t>
                  </w:r>
                  <w:r>
                    <w:rPr>
                      <w:b/>
                      <w:color w:val="000000"/>
                      <w:sz w:val="22"/>
                      <w:szCs w:val="22"/>
                    </w:rPr>
                    <w:t xml:space="preserve"> ‘Meet your course leader’</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14:00 – 15:00</w:t>
                  </w:r>
                </w:p>
              </w:tc>
              <w:tc>
                <w:tcPr>
                  <w:tcW w:w="3362" w:type="dxa"/>
                </w:tcPr>
                <w:p w:rsidR="006E3300" w:rsidRDefault="00E52D1F">
                  <w:pPr>
                    <w:pBdr>
                      <w:top w:val="nil"/>
                      <w:left w:val="nil"/>
                      <w:bottom w:val="nil"/>
                      <w:right w:val="nil"/>
                      <w:between w:val="nil"/>
                    </w:pBdr>
                    <w:spacing w:after="120"/>
                    <w:rPr>
                      <w:color w:val="000000"/>
                      <w:sz w:val="22"/>
                      <w:szCs w:val="22"/>
                    </w:rPr>
                  </w:pPr>
                  <w:r>
                    <w:rPr>
                      <w:b/>
                      <w:color w:val="000000"/>
                      <w:sz w:val="22"/>
                      <w:szCs w:val="22"/>
                    </w:rPr>
                    <w:t>BREAK</w:t>
                  </w:r>
                </w:p>
              </w:tc>
              <w:tc>
                <w:tcPr>
                  <w:tcW w:w="3362" w:type="dxa"/>
                </w:tcPr>
                <w:p w:rsidR="006E3300" w:rsidRDefault="006E3300">
                  <w:pPr>
                    <w:pBdr>
                      <w:top w:val="nil"/>
                      <w:left w:val="nil"/>
                      <w:bottom w:val="nil"/>
                      <w:right w:val="nil"/>
                      <w:between w:val="nil"/>
                    </w:pBdr>
                    <w:spacing w:after="120"/>
                    <w:jc w:val="center"/>
                    <w:rPr>
                      <w:b/>
                      <w:color w:val="000000"/>
                      <w:sz w:val="22"/>
                      <w:szCs w:val="22"/>
                    </w:rPr>
                  </w:pP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15:00 – 16:00</w:t>
                  </w:r>
                </w:p>
              </w:tc>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Meeting with the Friends of Arriving New Students</w:t>
                  </w:r>
                </w:p>
                <w:p w:rsidR="006E3300" w:rsidRDefault="00E52D1F">
                  <w:pPr>
                    <w:pBdr>
                      <w:top w:val="nil"/>
                      <w:left w:val="nil"/>
                      <w:bottom w:val="nil"/>
                      <w:right w:val="nil"/>
                      <w:between w:val="nil"/>
                    </w:pBdr>
                    <w:spacing w:after="120"/>
                    <w:rPr>
                      <w:color w:val="000000"/>
                      <w:sz w:val="22"/>
                      <w:szCs w:val="22"/>
                    </w:rPr>
                  </w:pPr>
                  <w:r>
                    <w:rPr>
                      <w:color w:val="000000"/>
                      <w:sz w:val="22"/>
                      <w:szCs w:val="22"/>
                    </w:rPr>
                    <w:t xml:space="preserve">This is a session where you will take part in </w:t>
                  </w:r>
                  <w:proofErr w:type="gramStart"/>
                  <w:r>
                    <w:rPr>
                      <w:color w:val="000000"/>
                      <w:sz w:val="22"/>
                      <w:szCs w:val="22"/>
                    </w:rPr>
                    <w:t>a number of</w:t>
                  </w:r>
                  <w:proofErr w:type="gramEnd"/>
                  <w:r>
                    <w:rPr>
                      <w:color w:val="000000"/>
                      <w:sz w:val="22"/>
                      <w:szCs w:val="22"/>
                    </w:rPr>
                    <w:t xml:space="preserve"> activities developed and </w:t>
                  </w:r>
                  <w:proofErr w:type="spellStart"/>
                  <w:r>
                    <w:rPr>
                      <w:color w:val="000000"/>
                      <w:sz w:val="22"/>
                      <w:szCs w:val="22"/>
                    </w:rPr>
                    <w:t>organised</w:t>
                  </w:r>
                  <w:proofErr w:type="spellEnd"/>
                  <w:r>
                    <w:rPr>
                      <w:color w:val="000000"/>
                      <w:sz w:val="22"/>
                      <w:szCs w:val="22"/>
                    </w:rPr>
                    <w:t xml:space="preserve"> by the Student Union and the University to help welcome you to the University.</w:t>
                  </w:r>
                </w:p>
              </w:tc>
              <w:tc>
                <w:tcPr>
                  <w:tcW w:w="3362" w:type="dxa"/>
                </w:tcPr>
                <w:p w:rsidR="006E3300" w:rsidRDefault="006E3300">
                  <w:pPr>
                    <w:pBdr>
                      <w:top w:val="nil"/>
                      <w:left w:val="nil"/>
                      <w:bottom w:val="nil"/>
                      <w:right w:val="nil"/>
                      <w:between w:val="nil"/>
                    </w:pBdr>
                    <w:spacing w:after="120"/>
                    <w:jc w:val="center"/>
                    <w:rPr>
                      <w:b/>
                      <w:color w:val="000000"/>
                      <w:sz w:val="22"/>
                      <w:szCs w:val="22"/>
                    </w:rPr>
                  </w:pPr>
                </w:p>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M303</w:t>
                  </w:r>
                </w:p>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p w:rsidR="006E3300" w:rsidRDefault="006E3300">
            <w:pPr>
              <w:pBdr>
                <w:top w:val="nil"/>
                <w:left w:val="nil"/>
                <w:bottom w:val="nil"/>
                <w:right w:val="nil"/>
                <w:between w:val="nil"/>
              </w:pBdr>
              <w:spacing w:after="120"/>
              <w:rPr>
                <w:b/>
                <w:color w:val="000000"/>
                <w:sz w:val="22"/>
                <w:szCs w:val="22"/>
              </w:rPr>
            </w:pPr>
          </w:p>
          <w:tbl>
            <w:tblPr>
              <w:tblStyle w:val="a2"/>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6E3300">
              <w:tc>
                <w:tcPr>
                  <w:tcW w:w="10086" w:type="dxa"/>
                  <w:gridSpan w:val="3"/>
                  <w:shd w:val="clear" w:color="auto" w:fill="92CCF3"/>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Thursday19</w:t>
                  </w:r>
                  <w:r>
                    <w:rPr>
                      <w:b/>
                      <w:color w:val="000000"/>
                      <w:sz w:val="22"/>
                      <w:szCs w:val="22"/>
                      <w:vertAlign w:val="superscript"/>
                    </w:rPr>
                    <w:t>th</w:t>
                  </w:r>
                  <w:r>
                    <w:rPr>
                      <w:b/>
                      <w:color w:val="000000"/>
                      <w:sz w:val="22"/>
                      <w:szCs w:val="22"/>
                    </w:rPr>
                    <w:t xml:space="preserve"> September 2019</w:t>
                  </w:r>
                </w:p>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10:00 – 16:00: Arrivals Fair, Ambika P3 Marylebone Campus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lastRenderedPageBreak/>
                    <w:t>Time</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6E3300">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 xml:space="preserve">                11:00 – 12:30</w:t>
                  </w:r>
                </w:p>
              </w:tc>
              <w:tc>
                <w:tcPr>
                  <w:tcW w:w="3362" w:type="dxa"/>
                </w:tcPr>
                <w:p w:rsidR="006E3300" w:rsidRDefault="00E52D1F">
                  <w:pPr>
                    <w:pBdr>
                      <w:top w:val="nil"/>
                      <w:left w:val="nil"/>
                      <w:bottom w:val="nil"/>
                      <w:right w:val="nil"/>
                      <w:between w:val="nil"/>
                    </w:pBdr>
                    <w:spacing w:after="120"/>
                    <w:rPr>
                      <w:color w:val="000000"/>
                      <w:sz w:val="22"/>
                      <w:szCs w:val="22"/>
                    </w:rPr>
                  </w:pPr>
                  <w:r>
                    <w:rPr>
                      <w:b/>
                      <w:color w:val="000000"/>
                      <w:sz w:val="22"/>
                      <w:szCs w:val="22"/>
                    </w:rPr>
                    <w:t xml:space="preserve">Blackboard and SRS Taster session. Meeting also with your Professional Personal Development Tutor.  </w:t>
                  </w:r>
                </w:p>
                <w:p w:rsidR="006E3300" w:rsidRDefault="006E3300">
                  <w:pPr>
                    <w:pBdr>
                      <w:top w:val="nil"/>
                      <w:left w:val="nil"/>
                      <w:bottom w:val="nil"/>
                      <w:right w:val="nil"/>
                      <w:between w:val="nil"/>
                    </w:pBdr>
                    <w:spacing w:after="120"/>
                    <w:rPr>
                      <w:b/>
                      <w:color w:val="000000"/>
                      <w:sz w:val="22"/>
                      <w:szCs w:val="22"/>
                    </w:rPr>
                  </w:pP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Lab B16</w:t>
                  </w:r>
                </w:p>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12.30 - 13.00</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Presentations by CFA or to the FMS resources</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CG28 (Orla Gough Lecture Theatre)</w:t>
                  </w:r>
                </w:p>
                <w:p w:rsidR="006E3300" w:rsidRDefault="00E52D1F">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13.00 – 16.00</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Enrolment</w:t>
                  </w:r>
                </w:p>
                <w:p w:rsidR="006E3300" w:rsidRDefault="006E3300">
                  <w:pPr>
                    <w:pBdr>
                      <w:top w:val="nil"/>
                      <w:left w:val="nil"/>
                      <w:bottom w:val="nil"/>
                      <w:right w:val="nil"/>
                      <w:between w:val="nil"/>
                    </w:pBdr>
                    <w:spacing w:after="120"/>
                    <w:rPr>
                      <w:b/>
                      <w:color w:val="000000"/>
                      <w:sz w:val="22"/>
                      <w:szCs w:val="22"/>
                    </w:rPr>
                  </w:pP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Marylebone Campus</w:t>
                  </w:r>
                </w:p>
              </w:tc>
            </w:tr>
          </w:tbl>
          <w:p w:rsidR="006E3300" w:rsidRDefault="006E3300">
            <w:pPr>
              <w:pBdr>
                <w:top w:val="nil"/>
                <w:left w:val="nil"/>
                <w:bottom w:val="nil"/>
                <w:right w:val="nil"/>
                <w:between w:val="nil"/>
              </w:pBdr>
              <w:spacing w:after="120"/>
              <w:jc w:val="center"/>
              <w:rPr>
                <w:b/>
                <w:color w:val="000000"/>
                <w:sz w:val="22"/>
                <w:szCs w:val="22"/>
              </w:rPr>
            </w:pPr>
          </w:p>
          <w:p w:rsidR="006E3300" w:rsidRDefault="006E3300">
            <w:pPr>
              <w:pBdr>
                <w:top w:val="nil"/>
                <w:left w:val="nil"/>
                <w:bottom w:val="nil"/>
                <w:right w:val="nil"/>
                <w:between w:val="nil"/>
              </w:pBdr>
              <w:spacing w:after="120"/>
              <w:jc w:val="center"/>
              <w:rPr>
                <w:b/>
                <w:color w:val="000000"/>
                <w:sz w:val="22"/>
                <w:szCs w:val="22"/>
              </w:rPr>
            </w:pPr>
          </w:p>
          <w:tbl>
            <w:tblPr>
              <w:tblStyle w:val="a3"/>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6E3300">
              <w:tc>
                <w:tcPr>
                  <w:tcW w:w="10086" w:type="dxa"/>
                  <w:gridSpan w:val="3"/>
                  <w:shd w:val="clear" w:color="auto" w:fill="92CCF3"/>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Friday 20</w:t>
                  </w:r>
                  <w:r>
                    <w:rPr>
                      <w:b/>
                      <w:color w:val="000000"/>
                      <w:sz w:val="22"/>
                      <w:szCs w:val="22"/>
                      <w:vertAlign w:val="superscript"/>
                    </w:rPr>
                    <w:t>th</w:t>
                  </w:r>
                  <w:r>
                    <w:rPr>
                      <w:b/>
                      <w:color w:val="000000"/>
                      <w:sz w:val="22"/>
                      <w:szCs w:val="22"/>
                    </w:rPr>
                    <w:t xml:space="preserve"> September 2019</w:t>
                  </w:r>
                </w:p>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10:00 – 16:00: Arrivals Fair, Ambika P3 Marylebone Campus</w:t>
                  </w:r>
                </w:p>
              </w:tc>
            </w:tr>
            <w:tr w:rsidR="006E3300">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6E3300" w:rsidRDefault="00E52D1F">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6E3300">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 xml:space="preserve">               11.00 - 17.00</w:t>
                  </w:r>
                </w:p>
              </w:tc>
              <w:tc>
                <w:tcPr>
                  <w:tcW w:w="3362" w:type="dxa"/>
                </w:tcPr>
                <w:p w:rsidR="006E3300" w:rsidRDefault="00E52D1F">
                  <w:pPr>
                    <w:pBdr>
                      <w:top w:val="nil"/>
                      <w:left w:val="nil"/>
                      <w:bottom w:val="nil"/>
                      <w:right w:val="nil"/>
                      <w:between w:val="nil"/>
                    </w:pBdr>
                    <w:spacing w:after="120"/>
                    <w:rPr>
                      <w:color w:val="000000"/>
                      <w:sz w:val="22"/>
                      <w:szCs w:val="22"/>
                    </w:rPr>
                  </w:pPr>
                  <w:r>
                    <w:rPr>
                      <w:b/>
                      <w:color w:val="000000"/>
                      <w:sz w:val="22"/>
                      <w:szCs w:val="22"/>
                    </w:rPr>
                    <w:t xml:space="preserve">Visit to the Financial District and institutions </w:t>
                  </w:r>
                </w:p>
                <w:p w:rsidR="006E3300" w:rsidRDefault="006E3300">
                  <w:pPr>
                    <w:pBdr>
                      <w:top w:val="nil"/>
                      <w:left w:val="nil"/>
                      <w:bottom w:val="nil"/>
                      <w:right w:val="nil"/>
                      <w:between w:val="nil"/>
                    </w:pBdr>
                    <w:spacing w:after="120"/>
                    <w:rPr>
                      <w:b/>
                      <w:color w:val="000000"/>
                      <w:sz w:val="22"/>
                      <w:szCs w:val="22"/>
                    </w:rPr>
                  </w:pPr>
                </w:p>
              </w:tc>
              <w:tc>
                <w:tcPr>
                  <w:tcW w:w="3362" w:type="dxa"/>
                </w:tcPr>
                <w:p w:rsidR="006E3300" w:rsidRDefault="00E52D1F">
                  <w:pPr>
                    <w:pBdr>
                      <w:top w:val="nil"/>
                      <w:left w:val="nil"/>
                      <w:bottom w:val="nil"/>
                      <w:right w:val="nil"/>
                      <w:between w:val="nil"/>
                    </w:pBdr>
                    <w:spacing w:after="120"/>
                    <w:rPr>
                      <w:b/>
                      <w:color w:val="000000"/>
                      <w:sz w:val="22"/>
                      <w:szCs w:val="22"/>
                    </w:rPr>
                  </w:pPr>
                  <w:r>
                    <w:rPr>
                      <w:b/>
                      <w:color w:val="000000"/>
                      <w:sz w:val="22"/>
                      <w:szCs w:val="22"/>
                    </w:rPr>
                    <w:t>Details of meeting place to be confirmed in ‘Meet your Course Leader’ (17/9).</w:t>
                  </w:r>
                </w:p>
                <w:p w:rsidR="006E3300" w:rsidRDefault="006E3300">
                  <w:pPr>
                    <w:pBdr>
                      <w:top w:val="nil"/>
                      <w:left w:val="nil"/>
                      <w:bottom w:val="nil"/>
                      <w:right w:val="nil"/>
                      <w:between w:val="nil"/>
                    </w:pBdr>
                    <w:spacing w:after="120"/>
                    <w:rPr>
                      <w:b/>
                      <w:color w:val="000000"/>
                      <w:sz w:val="22"/>
                      <w:szCs w:val="22"/>
                    </w:rPr>
                  </w:pPr>
                </w:p>
              </w:tc>
            </w:tr>
          </w:tbl>
          <w:p w:rsidR="006E3300" w:rsidRDefault="006E3300">
            <w:pPr>
              <w:pBdr>
                <w:top w:val="nil"/>
                <w:left w:val="nil"/>
                <w:bottom w:val="nil"/>
                <w:right w:val="nil"/>
                <w:between w:val="nil"/>
              </w:pBdr>
              <w:spacing w:after="120"/>
              <w:rPr>
                <w:b/>
                <w:color w:val="000000"/>
                <w:sz w:val="22"/>
                <w:szCs w:val="22"/>
              </w:rPr>
            </w:pPr>
          </w:p>
        </w:tc>
      </w:tr>
      <w:tr w:rsidR="006E3300">
        <w:trPr>
          <w:trHeight w:val="1660"/>
          <w:jc w:val="center"/>
        </w:trPr>
        <w:tc>
          <w:tcPr>
            <w:tcW w:w="11587"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rsidR="006E3300" w:rsidRDefault="00E52D1F">
            <w:pPr>
              <w:rPr>
                <w:sz w:val="22"/>
                <w:szCs w:val="22"/>
              </w:rPr>
            </w:pPr>
            <w:r>
              <w:rPr>
                <w:sz w:val="22"/>
                <w:szCs w:val="22"/>
              </w:rPr>
              <w:lastRenderedPageBreak/>
              <w:t>READING LIST</w:t>
            </w:r>
          </w:p>
          <w:p w:rsidR="006E3300" w:rsidRDefault="006E3300">
            <w:pPr>
              <w:rPr>
                <w:sz w:val="22"/>
                <w:szCs w:val="22"/>
              </w:rPr>
            </w:pPr>
          </w:p>
          <w:p w:rsidR="006E3300" w:rsidRDefault="00E52D1F">
            <w:pPr>
              <w:rPr>
                <w:sz w:val="22"/>
                <w:szCs w:val="22"/>
              </w:rPr>
            </w:pPr>
            <w:r>
              <w:rPr>
                <w:sz w:val="22"/>
                <w:szCs w:val="22"/>
              </w:rPr>
              <w:t>This reading is intended to provide some useful inspiration for your studies.</w:t>
            </w:r>
          </w:p>
          <w:p w:rsidR="006E3300" w:rsidRDefault="00E52D1F">
            <w:pPr>
              <w:pBdr>
                <w:top w:val="nil"/>
                <w:left w:val="nil"/>
                <w:bottom w:val="nil"/>
                <w:right w:val="nil"/>
                <w:between w:val="nil"/>
              </w:pBdr>
              <w:rPr>
                <w:color w:val="000000"/>
                <w:sz w:val="22"/>
                <w:szCs w:val="22"/>
              </w:rPr>
            </w:pPr>
            <w:r>
              <w:rPr>
                <w:b/>
                <w:color w:val="000000"/>
                <w:sz w:val="22"/>
                <w:szCs w:val="22"/>
              </w:rPr>
              <w:t>BOOK LIST: Recommended pre-course reading for BSc Finance:</w:t>
            </w:r>
          </w:p>
          <w:p w:rsidR="006E3300" w:rsidRDefault="00E52D1F">
            <w:pPr>
              <w:numPr>
                <w:ilvl w:val="0"/>
                <w:numId w:val="1"/>
              </w:numPr>
              <w:pBdr>
                <w:top w:val="nil"/>
                <w:left w:val="nil"/>
                <w:bottom w:val="nil"/>
                <w:right w:val="nil"/>
                <w:between w:val="nil"/>
              </w:pBdr>
              <w:rPr>
                <w:color w:val="000000"/>
                <w:sz w:val="22"/>
                <w:szCs w:val="22"/>
              </w:rPr>
            </w:pPr>
            <w:r>
              <w:rPr>
                <w:color w:val="000000"/>
                <w:sz w:val="22"/>
                <w:szCs w:val="22"/>
              </w:rPr>
              <w:t xml:space="preserve">Brealey, R.A., Myers, S. C. and Marcus, A.J., (2015). Fundamentals of Corporate Finance. 8th edition, McGraw Hill. </w:t>
            </w:r>
          </w:p>
          <w:p w:rsidR="006E3300" w:rsidRDefault="00E52D1F">
            <w:pPr>
              <w:pBdr>
                <w:top w:val="nil"/>
                <w:left w:val="nil"/>
                <w:bottom w:val="nil"/>
                <w:right w:val="nil"/>
                <w:between w:val="nil"/>
              </w:pBdr>
              <w:ind w:left="720"/>
              <w:rPr>
                <w:color w:val="000000"/>
                <w:sz w:val="22"/>
                <w:szCs w:val="22"/>
              </w:rPr>
            </w:pPr>
            <w:r>
              <w:rPr>
                <w:b/>
                <w:i/>
                <w:color w:val="000000"/>
                <w:sz w:val="22"/>
                <w:szCs w:val="22"/>
              </w:rPr>
              <w:t xml:space="preserve">(The set text for the core module 4FNCE001W Introduction of Finance) </w:t>
            </w:r>
          </w:p>
          <w:p w:rsidR="006E3300" w:rsidRDefault="00E52D1F">
            <w:pPr>
              <w:numPr>
                <w:ilvl w:val="0"/>
                <w:numId w:val="1"/>
              </w:numPr>
              <w:pBdr>
                <w:top w:val="nil"/>
                <w:left w:val="nil"/>
                <w:bottom w:val="nil"/>
                <w:right w:val="nil"/>
                <w:between w:val="nil"/>
              </w:pBdr>
              <w:rPr>
                <w:color w:val="000000"/>
                <w:sz w:val="22"/>
                <w:szCs w:val="22"/>
              </w:rPr>
            </w:pPr>
            <w:proofErr w:type="spellStart"/>
            <w:r>
              <w:rPr>
                <w:color w:val="000000"/>
                <w:sz w:val="22"/>
                <w:szCs w:val="22"/>
              </w:rPr>
              <w:t>Shoenebeck</w:t>
            </w:r>
            <w:proofErr w:type="spellEnd"/>
            <w:r>
              <w:rPr>
                <w:color w:val="000000"/>
                <w:sz w:val="22"/>
                <w:szCs w:val="22"/>
              </w:rPr>
              <w:t xml:space="preserve">, K.P. &amp; </w:t>
            </w:r>
            <w:proofErr w:type="spellStart"/>
            <w:r>
              <w:rPr>
                <w:color w:val="000000"/>
                <w:sz w:val="22"/>
                <w:szCs w:val="22"/>
              </w:rPr>
              <w:t>Hotzman</w:t>
            </w:r>
            <w:proofErr w:type="spellEnd"/>
            <w:r>
              <w:rPr>
                <w:color w:val="000000"/>
                <w:sz w:val="22"/>
                <w:szCs w:val="22"/>
              </w:rPr>
              <w:t xml:space="preserve">, M.P. (2013). Interpreting and </w:t>
            </w:r>
            <w:proofErr w:type="spellStart"/>
            <w:r>
              <w:rPr>
                <w:color w:val="000000"/>
                <w:sz w:val="22"/>
                <w:szCs w:val="22"/>
              </w:rPr>
              <w:t>Analysing</w:t>
            </w:r>
            <w:proofErr w:type="spellEnd"/>
            <w:r>
              <w:rPr>
                <w:color w:val="000000"/>
                <w:sz w:val="22"/>
                <w:szCs w:val="22"/>
              </w:rPr>
              <w:t xml:space="preserve"> Financial Statements (6th edition). Harlow: Prentice-Hall.</w:t>
            </w:r>
            <w:r>
              <w:rPr>
                <w:color w:val="000000"/>
                <w:sz w:val="22"/>
                <w:szCs w:val="22"/>
              </w:rPr>
              <w:br/>
            </w:r>
            <w:r>
              <w:rPr>
                <w:b/>
                <w:i/>
                <w:color w:val="000000"/>
                <w:sz w:val="22"/>
                <w:szCs w:val="22"/>
              </w:rPr>
              <w:t xml:space="preserve">(The set text for the core module 4FNCE002W Corporate Financial Accounting) </w:t>
            </w:r>
          </w:p>
          <w:p w:rsidR="006E3300" w:rsidRDefault="00E52D1F">
            <w:pPr>
              <w:numPr>
                <w:ilvl w:val="0"/>
                <w:numId w:val="1"/>
              </w:numPr>
              <w:pBdr>
                <w:top w:val="nil"/>
                <w:left w:val="nil"/>
                <w:bottom w:val="nil"/>
                <w:right w:val="nil"/>
                <w:between w:val="nil"/>
              </w:pBdr>
              <w:rPr>
                <w:color w:val="000000"/>
                <w:sz w:val="22"/>
                <w:szCs w:val="22"/>
              </w:rPr>
            </w:pPr>
            <w:proofErr w:type="spellStart"/>
            <w:r>
              <w:rPr>
                <w:color w:val="000000"/>
                <w:sz w:val="22"/>
                <w:szCs w:val="22"/>
              </w:rPr>
              <w:t>Mavron</w:t>
            </w:r>
            <w:proofErr w:type="spellEnd"/>
            <w:r>
              <w:rPr>
                <w:color w:val="000000"/>
                <w:sz w:val="22"/>
                <w:szCs w:val="22"/>
              </w:rPr>
              <w:t>, V and Phillips, T. (2007), Elements of Mathe</w:t>
            </w:r>
            <w:r>
              <w:rPr>
                <w:color w:val="000000"/>
                <w:sz w:val="22"/>
                <w:szCs w:val="22"/>
              </w:rPr>
              <w:t xml:space="preserve">matics for Economics and Finance, Springer. </w:t>
            </w:r>
          </w:p>
          <w:p w:rsidR="006E3300" w:rsidRDefault="00E52D1F">
            <w:pPr>
              <w:numPr>
                <w:ilvl w:val="0"/>
                <w:numId w:val="1"/>
              </w:numPr>
              <w:pBdr>
                <w:top w:val="nil"/>
                <w:left w:val="nil"/>
                <w:bottom w:val="nil"/>
                <w:right w:val="nil"/>
                <w:between w:val="nil"/>
              </w:pBdr>
              <w:rPr>
                <w:color w:val="000000"/>
                <w:sz w:val="22"/>
                <w:szCs w:val="22"/>
              </w:rPr>
            </w:pPr>
            <w:proofErr w:type="spellStart"/>
            <w:r>
              <w:rPr>
                <w:color w:val="000000"/>
                <w:sz w:val="22"/>
                <w:szCs w:val="22"/>
              </w:rPr>
              <w:t>Teall</w:t>
            </w:r>
            <w:proofErr w:type="spellEnd"/>
            <w:r>
              <w:rPr>
                <w:color w:val="000000"/>
                <w:sz w:val="22"/>
                <w:szCs w:val="22"/>
              </w:rPr>
              <w:t xml:space="preserve">, J. and Hasan, I. (2002), Quantitative Methods for Finance and Investments, Wiley. </w:t>
            </w:r>
          </w:p>
          <w:p w:rsidR="006E3300" w:rsidRDefault="00E52D1F">
            <w:pPr>
              <w:pBdr>
                <w:top w:val="nil"/>
                <w:left w:val="nil"/>
                <w:bottom w:val="nil"/>
                <w:right w:val="nil"/>
                <w:between w:val="nil"/>
              </w:pBdr>
              <w:ind w:left="720"/>
              <w:rPr>
                <w:color w:val="000000"/>
                <w:sz w:val="22"/>
                <w:szCs w:val="22"/>
              </w:rPr>
            </w:pPr>
            <w:r>
              <w:rPr>
                <w:b/>
                <w:i/>
                <w:color w:val="000000"/>
                <w:sz w:val="22"/>
                <w:szCs w:val="22"/>
              </w:rPr>
              <w:t xml:space="preserve">(The set texts for the core module 4FNCE003W Mathematics for Finance) </w:t>
            </w:r>
          </w:p>
          <w:p w:rsidR="006E3300" w:rsidRDefault="00E52D1F">
            <w:pPr>
              <w:numPr>
                <w:ilvl w:val="0"/>
                <w:numId w:val="1"/>
              </w:numPr>
              <w:pBdr>
                <w:top w:val="nil"/>
                <w:left w:val="nil"/>
                <w:bottom w:val="nil"/>
                <w:right w:val="nil"/>
                <w:between w:val="nil"/>
              </w:pBdr>
              <w:rPr>
                <w:color w:val="000000"/>
                <w:sz w:val="22"/>
                <w:szCs w:val="22"/>
              </w:rPr>
            </w:pPr>
            <w:r>
              <w:rPr>
                <w:color w:val="000000"/>
                <w:sz w:val="22"/>
                <w:szCs w:val="22"/>
              </w:rPr>
              <w:t>Mishkin, F.S. &amp; Eakins, S. (2016) Financial Market</w:t>
            </w:r>
            <w:r>
              <w:rPr>
                <w:color w:val="000000"/>
                <w:sz w:val="22"/>
                <w:szCs w:val="22"/>
              </w:rPr>
              <w:t xml:space="preserve">s and Institutions. Harlow, England: Pearson. 11th Ed </w:t>
            </w:r>
          </w:p>
          <w:p w:rsidR="006E3300" w:rsidRDefault="00E52D1F">
            <w:pPr>
              <w:numPr>
                <w:ilvl w:val="0"/>
                <w:numId w:val="1"/>
              </w:numPr>
              <w:pBdr>
                <w:top w:val="nil"/>
                <w:left w:val="nil"/>
                <w:bottom w:val="nil"/>
                <w:right w:val="nil"/>
                <w:between w:val="nil"/>
              </w:pBdr>
              <w:rPr>
                <w:color w:val="000000"/>
                <w:sz w:val="22"/>
                <w:szCs w:val="22"/>
              </w:rPr>
            </w:pPr>
            <w:r>
              <w:rPr>
                <w:color w:val="000000"/>
                <w:sz w:val="22"/>
                <w:szCs w:val="22"/>
              </w:rPr>
              <w:t xml:space="preserve">Madura, J. (2012) Financial Institutions &amp; Markets. South Western. </w:t>
            </w:r>
          </w:p>
          <w:p w:rsidR="006E3300" w:rsidRDefault="00E52D1F">
            <w:pPr>
              <w:pBdr>
                <w:top w:val="nil"/>
                <w:left w:val="nil"/>
                <w:bottom w:val="nil"/>
                <w:right w:val="nil"/>
                <w:between w:val="nil"/>
              </w:pBdr>
              <w:ind w:left="720"/>
              <w:rPr>
                <w:color w:val="000000"/>
                <w:sz w:val="22"/>
                <w:szCs w:val="22"/>
              </w:rPr>
            </w:pPr>
            <w:r>
              <w:rPr>
                <w:b/>
                <w:i/>
                <w:color w:val="000000"/>
                <w:sz w:val="22"/>
                <w:szCs w:val="22"/>
              </w:rPr>
              <w:t xml:space="preserve">(The set texts for the core module 4FNCE004W Introduction to Financial Markets) </w:t>
            </w:r>
          </w:p>
          <w:p w:rsidR="006E3300" w:rsidRDefault="00E52D1F">
            <w:pPr>
              <w:pBdr>
                <w:top w:val="nil"/>
                <w:left w:val="nil"/>
                <w:bottom w:val="nil"/>
                <w:right w:val="nil"/>
                <w:between w:val="nil"/>
              </w:pBdr>
              <w:ind w:left="720"/>
              <w:rPr>
                <w:color w:val="000000"/>
                <w:sz w:val="22"/>
                <w:szCs w:val="22"/>
              </w:rPr>
            </w:pPr>
            <w:r>
              <w:rPr>
                <w:b/>
                <w:color w:val="000000"/>
                <w:sz w:val="22"/>
                <w:szCs w:val="22"/>
              </w:rPr>
              <w:t xml:space="preserve">Other Reading: </w:t>
            </w:r>
          </w:p>
          <w:p w:rsidR="006E3300" w:rsidRDefault="00E52D1F">
            <w:pPr>
              <w:numPr>
                <w:ilvl w:val="1"/>
                <w:numId w:val="1"/>
              </w:numPr>
              <w:pBdr>
                <w:top w:val="nil"/>
                <w:left w:val="nil"/>
                <w:bottom w:val="nil"/>
                <w:right w:val="nil"/>
                <w:between w:val="nil"/>
              </w:pBdr>
              <w:rPr>
                <w:color w:val="000000"/>
                <w:sz w:val="22"/>
                <w:szCs w:val="22"/>
              </w:rPr>
            </w:pPr>
            <w:proofErr w:type="spellStart"/>
            <w:r>
              <w:rPr>
                <w:color w:val="000000"/>
                <w:sz w:val="22"/>
                <w:szCs w:val="22"/>
              </w:rPr>
              <w:t>Cutts</w:t>
            </w:r>
            <w:proofErr w:type="spellEnd"/>
            <w:r>
              <w:rPr>
                <w:color w:val="000000"/>
                <w:sz w:val="22"/>
                <w:szCs w:val="22"/>
              </w:rPr>
              <w:t xml:space="preserve">, M (2013) </w:t>
            </w:r>
            <w:r>
              <w:rPr>
                <w:i/>
                <w:color w:val="000000"/>
                <w:sz w:val="22"/>
                <w:szCs w:val="22"/>
              </w:rPr>
              <w:t xml:space="preserve">Oxford Guide to Plain English </w:t>
            </w:r>
            <w:r>
              <w:rPr>
                <w:color w:val="000000"/>
                <w:sz w:val="22"/>
                <w:szCs w:val="22"/>
              </w:rPr>
              <w:t>(4</w:t>
            </w:r>
            <w:r>
              <w:rPr>
                <w:color w:val="000000"/>
                <w:sz w:val="36"/>
                <w:szCs w:val="36"/>
                <w:vertAlign w:val="superscript"/>
              </w:rPr>
              <w:t>th</w:t>
            </w:r>
            <w:r>
              <w:rPr>
                <w:color w:val="000000"/>
                <w:sz w:val="22"/>
                <w:szCs w:val="22"/>
              </w:rPr>
              <w:t xml:space="preserve">ed). Oxford: Oxford University Press </w:t>
            </w:r>
            <w:r>
              <w:rPr>
                <w:b/>
                <w:i/>
                <w:color w:val="000000"/>
                <w:sz w:val="22"/>
                <w:szCs w:val="22"/>
              </w:rPr>
              <w:t xml:space="preserve">(Useful for all written assignments, read carefully and keep it by you) </w:t>
            </w:r>
          </w:p>
          <w:p w:rsidR="006E3300" w:rsidRDefault="00E52D1F">
            <w:pPr>
              <w:numPr>
                <w:ilvl w:val="1"/>
                <w:numId w:val="1"/>
              </w:numPr>
              <w:pBdr>
                <w:top w:val="nil"/>
                <w:left w:val="nil"/>
                <w:bottom w:val="nil"/>
                <w:right w:val="nil"/>
                <w:between w:val="nil"/>
              </w:pBdr>
              <w:rPr>
                <w:color w:val="000000"/>
                <w:sz w:val="22"/>
                <w:szCs w:val="22"/>
              </w:rPr>
            </w:pPr>
            <w:r>
              <w:rPr>
                <w:color w:val="000000"/>
                <w:sz w:val="22"/>
                <w:szCs w:val="22"/>
              </w:rPr>
              <w:t xml:space="preserve">Gallagher, K (2013) </w:t>
            </w:r>
            <w:r>
              <w:rPr>
                <w:i/>
                <w:color w:val="000000"/>
                <w:sz w:val="22"/>
                <w:szCs w:val="22"/>
              </w:rPr>
              <w:t xml:space="preserve">Skills Development for Business &amp; Management Students </w:t>
            </w:r>
            <w:r>
              <w:rPr>
                <w:color w:val="000000"/>
                <w:sz w:val="22"/>
                <w:szCs w:val="22"/>
              </w:rPr>
              <w:t>(2</w:t>
            </w:r>
            <w:r>
              <w:rPr>
                <w:color w:val="000000"/>
                <w:sz w:val="36"/>
                <w:szCs w:val="36"/>
                <w:vertAlign w:val="superscript"/>
              </w:rPr>
              <w:t xml:space="preserve">nd </w:t>
            </w:r>
            <w:r>
              <w:rPr>
                <w:color w:val="000000"/>
                <w:sz w:val="22"/>
                <w:szCs w:val="22"/>
              </w:rPr>
              <w:t>Edition) Oxford: Oxford University Press</w:t>
            </w:r>
            <w:r>
              <w:rPr>
                <w:color w:val="000000"/>
                <w:sz w:val="22"/>
                <w:szCs w:val="22"/>
              </w:rPr>
              <w:br/>
            </w:r>
            <w:r>
              <w:rPr>
                <w:b/>
                <w:i/>
                <w:color w:val="000000"/>
                <w:sz w:val="22"/>
                <w:szCs w:val="22"/>
              </w:rPr>
              <w:t xml:space="preserve">(Useful to know the key skills developed in business and management courses) </w:t>
            </w:r>
          </w:p>
          <w:p w:rsidR="006E3300" w:rsidRDefault="00E52D1F">
            <w:pPr>
              <w:numPr>
                <w:ilvl w:val="1"/>
                <w:numId w:val="1"/>
              </w:numPr>
              <w:pBdr>
                <w:top w:val="nil"/>
                <w:left w:val="nil"/>
                <w:bottom w:val="nil"/>
                <w:right w:val="nil"/>
                <w:between w:val="nil"/>
              </w:pBdr>
              <w:rPr>
                <w:color w:val="000000"/>
                <w:sz w:val="22"/>
                <w:szCs w:val="22"/>
              </w:rPr>
            </w:pPr>
            <w:r>
              <w:rPr>
                <w:color w:val="000000"/>
                <w:sz w:val="22"/>
                <w:szCs w:val="22"/>
              </w:rPr>
              <w:lastRenderedPageBreak/>
              <w:t xml:space="preserve">Jordan, B.D., Miller, T.W. &amp; </w:t>
            </w:r>
            <w:proofErr w:type="spellStart"/>
            <w:r>
              <w:rPr>
                <w:color w:val="000000"/>
                <w:sz w:val="22"/>
                <w:szCs w:val="22"/>
              </w:rPr>
              <w:t>Dolvin</w:t>
            </w:r>
            <w:proofErr w:type="spellEnd"/>
            <w:r>
              <w:rPr>
                <w:color w:val="000000"/>
                <w:sz w:val="22"/>
                <w:szCs w:val="22"/>
              </w:rPr>
              <w:t xml:space="preserve">, S.D. (2014) </w:t>
            </w:r>
            <w:r>
              <w:rPr>
                <w:i/>
                <w:color w:val="000000"/>
                <w:sz w:val="22"/>
                <w:szCs w:val="22"/>
              </w:rPr>
              <w:t>Fundamentals of Investments</w:t>
            </w:r>
            <w:r>
              <w:rPr>
                <w:color w:val="000000"/>
                <w:sz w:val="22"/>
                <w:szCs w:val="22"/>
              </w:rPr>
              <w:t>. (7</w:t>
            </w:r>
            <w:r>
              <w:rPr>
                <w:color w:val="000000"/>
                <w:sz w:val="36"/>
                <w:szCs w:val="36"/>
                <w:vertAlign w:val="superscript"/>
              </w:rPr>
              <w:t>th</w:t>
            </w:r>
            <w:r>
              <w:rPr>
                <w:color w:val="000000"/>
                <w:sz w:val="22"/>
                <w:szCs w:val="22"/>
              </w:rPr>
              <w:t>ed.) International edition. New York: McGraw-Hill.</w:t>
            </w:r>
            <w:r>
              <w:rPr>
                <w:color w:val="000000"/>
                <w:sz w:val="22"/>
                <w:szCs w:val="22"/>
              </w:rPr>
              <w:br/>
            </w:r>
            <w:r>
              <w:rPr>
                <w:b/>
                <w:i/>
                <w:color w:val="000000"/>
                <w:sz w:val="22"/>
                <w:szCs w:val="22"/>
              </w:rPr>
              <w:t>(Use</w:t>
            </w:r>
            <w:r>
              <w:rPr>
                <w:b/>
                <w:i/>
                <w:color w:val="000000"/>
                <w:sz w:val="22"/>
                <w:szCs w:val="22"/>
              </w:rPr>
              <w:t xml:space="preserve">ful as supplementary reading for 4FNCE001W Introduction to Finance) </w:t>
            </w:r>
          </w:p>
          <w:p w:rsidR="006E3300" w:rsidRDefault="006E3300">
            <w:pPr>
              <w:numPr>
                <w:ilvl w:val="1"/>
                <w:numId w:val="1"/>
              </w:numPr>
              <w:pBdr>
                <w:top w:val="nil"/>
                <w:left w:val="nil"/>
                <w:bottom w:val="nil"/>
                <w:right w:val="nil"/>
                <w:between w:val="nil"/>
              </w:pBdr>
              <w:rPr>
                <w:color w:val="000000"/>
                <w:sz w:val="22"/>
                <w:szCs w:val="22"/>
              </w:rPr>
            </w:pPr>
          </w:p>
        </w:tc>
      </w:tr>
      <w:tr w:rsidR="006E3300">
        <w:trPr>
          <w:trHeight w:val="220"/>
          <w:jc w:val="center"/>
        </w:trPr>
        <w:tc>
          <w:tcPr>
            <w:tcW w:w="11587" w:type="dxa"/>
            <w:gridSpan w:val="3"/>
            <w:tcBorders>
              <w:top w:val="single" w:sz="8" w:space="0" w:color="147ABD"/>
              <w:left w:val="single" w:sz="18" w:space="0" w:color="147ABD"/>
              <w:right w:val="single" w:sz="18" w:space="0" w:color="147ABD"/>
            </w:tcBorders>
          </w:tcPr>
          <w:p w:rsidR="006E3300" w:rsidRDefault="00E52D1F">
            <w:pPr>
              <w:pStyle w:val="Heading2"/>
              <w:rPr>
                <w:b w:val="0"/>
                <w:sz w:val="22"/>
                <w:szCs w:val="22"/>
              </w:rPr>
            </w:pPr>
            <w:r>
              <w:rPr>
                <w:b w:val="0"/>
                <w:sz w:val="22"/>
                <w:szCs w:val="22"/>
              </w:rPr>
              <w:lastRenderedPageBreak/>
              <w:t>ADDITIONAL INFORMATION</w:t>
            </w:r>
          </w:p>
        </w:tc>
      </w:tr>
      <w:tr w:rsidR="006E3300">
        <w:trPr>
          <w:trHeight w:val="220"/>
          <w:jc w:val="center"/>
        </w:trPr>
        <w:tc>
          <w:tcPr>
            <w:tcW w:w="3467" w:type="dxa"/>
            <w:tcBorders>
              <w:left w:val="single" w:sz="18" w:space="0" w:color="147ABD"/>
            </w:tcBorders>
          </w:tcPr>
          <w:p w:rsidR="006E3300" w:rsidRDefault="006E3300">
            <w:pPr>
              <w:pBdr>
                <w:top w:val="nil"/>
                <w:left w:val="nil"/>
                <w:bottom w:val="single" w:sz="8" w:space="2" w:color="E8E8E8"/>
                <w:right w:val="nil"/>
                <w:between w:val="nil"/>
              </w:pBdr>
              <w:rPr>
                <w:color w:val="000000"/>
                <w:sz w:val="22"/>
                <w:szCs w:val="22"/>
              </w:rPr>
            </w:pPr>
          </w:p>
        </w:tc>
        <w:tc>
          <w:tcPr>
            <w:tcW w:w="4731" w:type="dxa"/>
          </w:tcPr>
          <w:p w:rsidR="006E3300" w:rsidRDefault="006E3300">
            <w:pPr>
              <w:pBdr>
                <w:top w:val="nil"/>
                <w:left w:val="nil"/>
                <w:bottom w:val="single" w:sz="8" w:space="2" w:color="E8E8E8"/>
                <w:right w:val="nil"/>
                <w:between w:val="nil"/>
              </w:pBdr>
              <w:rPr>
                <w:color w:val="000000"/>
                <w:sz w:val="22"/>
                <w:szCs w:val="22"/>
              </w:rPr>
            </w:pPr>
          </w:p>
        </w:tc>
        <w:tc>
          <w:tcPr>
            <w:tcW w:w="3389" w:type="dxa"/>
            <w:tcBorders>
              <w:right w:val="single" w:sz="18" w:space="0" w:color="147ABD"/>
            </w:tcBorders>
          </w:tcPr>
          <w:p w:rsidR="006E3300" w:rsidRDefault="006E3300">
            <w:pPr>
              <w:pBdr>
                <w:top w:val="nil"/>
                <w:left w:val="nil"/>
                <w:bottom w:val="single" w:sz="8" w:space="2" w:color="E8E8E8"/>
                <w:right w:val="nil"/>
                <w:between w:val="nil"/>
              </w:pBdr>
              <w:rPr>
                <w:color w:val="000000"/>
                <w:sz w:val="22"/>
                <w:szCs w:val="22"/>
              </w:rPr>
            </w:pPr>
          </w:p>
        </w:tc>
      </w:tr>
      <w:tr w:rsidR="006E3300">
        <w:trPr>
          <w:trHeight w:val="220"/>
          <w:jc w:val="center"/>
        </w:trPr>
        <w:tc>
          <w:tcPr>
            <w:tcW w:w="8198" w:type="dxa"/>
            <w:gridSpan w:val="2"/>
            <w:tcBorders>
              <w:left w:val="single" w:sz="18" w:space="0" w:color="147ABD"/>
            </w:tcBorders>
          </w:tcPr>
          <w:p w:rsidR="006E3300" w:rsidRDefault="00E52D1F">
            <w:pPr>
              <w:numPr>
                <w:ilvl w:val="1"/>
                <w:numId w:val="1"/>
              </w:numPr>
              <w:pBdr>
                <w:top w:val="nil"/>
                <w:left w:val="nil"/>
                <w:bottom w:val="nil"/>
                <w:right w:val="nil"/>
                <w:between w:val="nil"/>
              </w:pBdr>
              <w:rPr>
                <w:color w:val="000000"/>
                <w:sz w:val="22"/>
                <w:szCs w:val="22"/>
              </w:rPr>
            </w:pPr>
            <w:r>
              <w:rPr>
                <w:i/>
                <w:color w:val="0000FF"/>
                <w:sz w:val="22"/>
                <w:szCs w:val="22"/>
              </w:rPr>
              <w:t>http://www.londontown.com/London/London_Survival_Guide</w:t>
            </w:r>
            <w:r>
              <w:rPr>
                <w:i/>
                <w:color w:val="0000FF"/>
                <w:sz w:val="22"/>
                <w:szCs w:val="22"/>
              </w:rPr>
              <w:br/>
            </w:r>
            <w:r>
              <w:rPr>
                <w:b/>
                <w:i/>
                <w:color w:val="000000"/>
                <w:sz w:val="22"/>
                <w:szCs w:val="22"/>
              </w:rPr>
              <w:t xml:space="preserve">(A useful insight into life in our city, with lots of links to associated information) </w:t>
            </w:r>
          </w:p>
          <w:p w:rsidR="006E3300" w:rsidRDefault="006E3300">
            <w:pPr>
              <w:pBdr>
                <w:top w:val="nil"/>
                <w:left w:val="nil"/>
                <w:bottom w:val="single" w:sz="8" w:space="2" w:color="E8E8E8"/>
                <w:right w:val="nil"/>
                <w:between w:val="nil"/>
              </w:pBdr>
              <w:ind w:right="-1380"/>
              <w:rPr>
                <w:color w:val="000000"/>
                <w:sz w:val="22"/>
                <w:szCs w:val="22"/>
              </w:rPr>
            </w:pPr>
          </w:p>
        </w:tc>
        <w:tc>
          <w:tcPr>
            <w:tcW w:w="3389" w:type="dxa"/>
            <w:tcBorders>
              <w:right w:val="single" w:sz="18" w:space="0" w:color="147ABD"/>
            </w:tcBorders>
          </w:tcPr>
          <w:p w:rsidR="006E3300" w:rsidRDefault="006E3300">
            <w:pPr>
              <w:pBdr>
                <w:top w:val="nil"/>
                <w:left w:val="nil"/>
                <w:bottom w:val="single" w:sz="8" w:space="2" w:color="E8E8E8"/>
                <w:right w:val="nil"/>
                <w:between w:val="nil"/>
              </w:pBdr>
              <w:rPr>
                <w:color w:val="000000"/>
                <w:sz w:val="22"/>
                <w:szCs w:val="22"/>
              </w:rPr>
            </w:pPr>
          </w:p>
        </w:tc>
      </w:tr>
      <w:tr w:rsidR="006E3300">
        <w:trPr>
          <w:trHeight w:val="220"/>
          <w:jc w:val="center"/>
        </w:trPr>
        <w:tc>
          <w:tcPr>
            <w:tcW w:w="11587" w:type="dxa"/>
            <w:gridSpan w:val="3"/>
            <w:tcBorders>
              <w:left w:val="single" w:sz="18" w:space="0" w:color="147ABD"/>
              <w:right w:val="single" w:sz="18" w:space="0" w:color="147ABD"/>
            </w:tcBorders>
          </w:tcPr>
          <w:p w:rsidR="006E3300" w:rsidRDefault="006E3300">
            <w:pPr>
              <w:pBdr>
                <w:top w:val="nil"/>
                <w:left w:val="nil"/>
                <w:bottom w:val="nil"/>
                <w:right w:val="nil"/>
                <w:between w:val="nil"/>
              </w:pBdr>
              <w:jc w:val="center"/>
              <w:rPr>
                <w:i/>
                <w:smallCaps/>
                <w:color w:val="353535"/>
                <w:sz w:val="22"/>
                <w:szCs w:val="22"/>
              </w:rPr>
            </w:pPr>
          </w:p>
        </w:tc>
      </w:tr>
      <w:tr w:rsidR="006E3300">
        <w:trPr>
          <w:trHeight w:val="220"/>
          <w:jc w:val="center"/>
        </w:trPr>
        <w:tc>
          <w:tcPr>
            <w:tcW w:w="11587" w:type="dxa"/>
            <w:gridSpan w:val="3"/>
            <w:tcBorders>
              <w:left w:val="single" w:sz="18" w:space="0" w:color="147ABD"/>
              <w:bottom w:val="single" w:sz="18" w:space="0" w:color="147ABD"/>
              <w:right w:val="single" w:sz="18" w:space="0" w:color="147ABD"/>
            </w:tcBorders>
          </w:tcPr>
          <w:p w:rsidR="006E3300" w:rsidRDefault="006E3300">
            <w:pPr>
              <w:rPr>
                <w:b/>
                <w:sz w:val="22"/>
                <w:szCs w:val="22"/>
              </w:rPr>
            </w:pPr>
          </w:p>
        </w:tc>
      </w:tr>
    </w:tbl>
    <w:p w:rsidR="006E3300" w:rsidRDefault="006E3300">
      <w:pPr>
        <w:rPr>
          <w:sz w:val="22"/>
          <w:szCs w:val="22"/>
        </w:rPr>
      </w:pPr>
    </w:p>
    <w:sectPr w:rsidR="006E3300">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673D7"/>
    <w:multiLevelType w:val="multilevel"/>
    <w:tmpl w:val="C28C1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00"/>
    <w:rsid w:val="006E3300"/>
    <w:rsid w:val="00E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BFF5"/>
  <w15:docId w15:val="{F9AA130B-94EA-4528-884E-239FCDCB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aparh@westmin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WHu64uyxmkQEuAa1Z43oxhqiQ==">AMUW2mV2KdKJL+Bc4PHIHMInEPrsEb+H9pVKxeNfx7nMhHZawW/25DxrRj/+5EnKG33T047doa9qj2eCODlcfoZZKN88Ql5YXR9uP/3hb+yjWcdkctJutyp/Zat4yONT8fZBFFM7jTtp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997</Words>
  <Characters>5683</Characters>
  <Application>Microsoft Office Word</Application>
  <DocSecurity>0</DocSecurity>
  <Lines>47</Lines>
  <Paragraphs>13</Paragraphs>
  <ScaleCrop>false</ScaleCrop>
  <Company>University of Westminster</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Scroggins</cp:lastModifiedBy>
  <cp:revision>2</cp:revision>
  <dcterms:created xsi:type="dcterms:W3CDTF">2019-08-01T07:57:00Z</dcterms:created>
  <dcterms:modified xsi:type="dcterms:W3CDTF">2019-09-03T14:35:00Z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