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060" w:rsidRDefault="00A426D4">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142240</wp:posOffset>
            </wp:positionV>
            <wp:extent cx="3860165" cy="961390"/>
            <wp:effectExtent l="0" t="0" r="0" b="0"/>
            <wp:wrapSquare wrapText="bothSides" distT="0" distB="0" distL="114300" distR="114300"/>
            <wp:docPr id="10" name="image4.png" descr="WBSlogo300"/>
            <wp:cNvGraphicFramePr/>
            <a:graphic xmlns:a="http://schemas.openxmlformats.org/drawingml/2006/main">
              <a:graphicData uri="http://schemas.openxmlformats.org/drawingml/2006/picture">
                <pic:pic xmlns:pic="http://schemas.openxmlformats.org/drawingml/2006/picture">
                  <pic:nvPicPr>
                    <pic:cNvPr id="0" name="image4.png" descr="WBSlogo300"/>
                    <pic:cNvPicPr preferRelativeResize="0"/>
                  </pic:nvPicPr>
                  <pic:blipFill>
                    <a:blip r:embed="rId5"/>
                    <a:srcRect/>
                    <a:stretch>
                      <a:fillRect/>
                    </a:stretch>
                  </pic:blipFill>
                  <pic:spPr>
                    <a:xfrm>
                      <a:off x="0" y="0"/>
                      <a:ext cx="3860165" cy="961390"/>
                    </a:xfrm>
                    <a:prstGeom prst="rect">
                      <a:avLst/>
                    </a:prstGeom>
                    <a:ln/>
                  </pic:spPr>
                </pic:pic>
              </a:graphicData>
            </a:graphic>
          </wp:anchor>
        </w:drawing>
      </w:r>
    </w:p>
    <w:p w:rsidR="00140060" w:rsidRDefault="00140060"/>
    <w:p w:rsidR="00140060" w:rsidRDefault="00140060"/>
    <w:p w:rsidR="00140060" w:rsidRDefault="00140060"/>
    <w:p w:rsidR="00140060" w:rsidRDefault="00140060"/>
    <w:p w:rsidR="00140060" w:rsidRDefault="00140060"/>
    <w:p w:rsidR="00140060" w:rsidRDefault="00140060"/>
    <w:p w:rsidR="00140060" w:rsidRDefault="00140060"/>
    <w:tbl>
      <w:tblPr>
        <w:tblStyle w:val="a"/>
        <w:tblW w:w="10322" w:type="dxa"/>
        <w:jc w:val="center"/>
        <w:tblBorders>
          <w:top w:val="nil"/>
          <w:left w:val="nil"/>
          <w:bottom w:val="nil"/>
          <w:right w:val="nil"/>
          <w:insideH w:val="nil"/>
          <w:insideV w:val="nil"/>
        </w:tblBorders>
        <w:tblLayout w:type="fixed"/>
        <w:tblLook w:val="0400" w:firstRow="0" w:lastRow="0" w:firstColumn="0" w:lastColumn="0" w:noHBand="0" w:noVBand="1"/>
      </w:tblPr>
      <w:tblGrid>
        <w:gridCol w:w="10322"/>
      </w:tblGrid>
      <w:tr w:rsidR="00140060">
        <w:trPr>
          <w:jc w:val="center"/>
        </w:trPr>
        <w:tc>
          <w:tcPr>
            <w:tcW w:w="10322" w:type="dxa"/>
            <w:tcBorders>
              <w:top w:val="single" w:sz="18" w:space="0" w:color="147ABD"/>
              <w:left w:val="single" w:sz="18" w:space="0" w:color="147ABD"/>
              <w:bottom w:val="single" w:sz="18" w:space="0" w:color="147ABD"/>
              <w:right w:val="single" w:sz="18" w:space="0" w:color="147ABD"/>
            </w:tcBorders>
            <w:shd w:val="clear" w:color="auto" w:fill="auto"/>
          </w:tcPr>
          <w:p w:rsidR="00140060" w:rsidRDefault="00A426D4">
            <w:pPr>
              <w:pStyle w:val="Title"/>
              <w:rPr>
                <w:rFonts w:ascii="Arial" w:eastAsia="Arial" w:hAnsi="Arial" w:cs="Arial"/>
                <w:b/>
                <w:sz w:val="24"/>
                <w:szCs w:val="24"/>
              </w:rPr>
            </w:pPr>
            <w:r>
              <w:rPr>
                <w:rFonts w:ascii="Arial" w:eastAsia="Arial" w:hAnsi="Arial" w:cs="Arial"/>
                <w:b/>
                <w:sz w:val="24"/>
                <w:szCs w:val="24"/>
              </w:rPr>
              <w:t>ORIENTATION WEEK</w:t>
            </w:r>
          </w:p>
          <w:p w:rsidR="00140060" w:rsidRDefault="00A426D4">
            <w:pPr>
              <w:pStyle w:val="Title"/>
              <w:rPr>
                <w:rFonts w:ascii="Arial" w:eastAsia="Arial" w:hAnsi="Arial" w:cs="Arial"/>
                <w:sz w:val="22"/>
                <w:szCs w:val="22"/>
              </w:rPr>
            </w:pPr>
            <w:r>
              <w:rPr>
                <w:rFonts w:ascii="Arial" w:eastAsia="Arial" w:hAnsi="Arial" w:cs="Arial"/>
                <w:b/>
                <w:sz w:val="24"/>
                <w:szCs w:val="24"/>
              </w:rPr>
              <w:t>BA Business Management Direct Entry (L5 &amp; L6 students)</w:t>
            </w:r>
          </w:p>
        </w:tc>
      </w:tr>
      <w:tr w:rsidR="00140060">
        <w:trPr>
          <w:trHeight w:val="560"/>
          <w:jc w:val="center"/>
        </w:trPr>
        <w:tc>
          <w:tcPr>
            <w:tcW w:w="10322" w:type="dxa"/>
            <w:tcBorders>
              <w:left w:val="single" w:sz="18" w:space="0" w:color="147ABD"/>
              <w:right w:val="single" w:sz="18" w:space="0" w:color="147ABD"/>
            </w:tcBorders>
            <w:vAlign w:val="center"/>
          </w:tcPr>
          <w:p w:rsidR="00140060" w:rsidRDefault="00A426D4">
            <w:pPr>
              <w:rPr>
                <w:b/>
                <w:sz w:val="22"/>
                <w:szCs w:val="22"/>
              </w:rPr>
            </w:pPr>
            <w:r>
              <w:rPr>
                <w:noProof/>
              </w:rPr>
              <w:drawing>
                <wp:anchor distT="0" distB="0" distL="114300" distR="114300" simplePos="0" relativeHeight="251659264" behindDoc="0" locked="0" layoutInCell="1" hidden="0" allowOverlap="1">
                  <wp:simplePos x="0" y="0"/>
                  <wp:positionH relativeFrom="column">
                    <wp:posOffset>19051</wp:posOffset>
                  </wp:positionH>
                  <wp:positionV relativeFrom="paragraph">
                    <wp:posOffset>87630</wp:posOffset>
                  </wp:positionV>
                  <wp:extent cx="1137285" cy="1294765"/>
                  <wp:effectExtent l="0" t="0" r="0" b="0"/>
                  <wp:wrapSquare wrapText="bothSides" distT="0" distB="0" distL="114300" distR="114300"/>
                  <wp:docPr id="8" name="image3.jpg" descr="Leigh - March 2017.jpg"/>
                  <wp:cNvGraphicFramePr/>
                  <a:graphic xmlns:a="http://schemas.openxmlformats.org/drawingml/2006/main">
                    <a:graphicData uri="http://schemas.openxmlformats.org/drawingml/2006/picture">
                      <pic:pic xmlns:pic="http://schemas.openxmlformats.org/drawingml/2006/picture">
                        <pic:nvPicPr>
                          <pic:cNvPr id="0" name="image3.jpg" descr="Leigh - March 2017.jpg"/>
                          <pic:cNvPicPr preferRelativeResize="0"/>
                        </pic:nvPicPr>
                        <pic:blipFill>
                          <a:blip r:embed="rId6"/>
                          <a:srcRect t="2558" r="9359" b="28763"/>
                          <a:stretch>
                            <a:fillRect/>
                          </a:stretch>
                        </pic:blipFill>
                        <pic:spPr>
                          <a:xfrm>
                            <a:off x="0" y="0"/>
                            <a:ext cx="1137285" cy="1294765"/>
                          </a:xfrm>
                          <a:prstGeom prst="rect">
                            <a:avLst/>
                          </a:prstGeom>
                          <a:ln/>
                        </pic:spPr>
                      </pic:pic>
                    </a:graphicData>
                  </a:graphic>
                </wp:anchor>
              </w:drawing>
            </w:r>
          </w:p>
          <w:p w:rsidR="00140060" w:rsidRDefault="00A426D4">
            <w:pPr>
              <w:jc w:val="center"/>
              <w:rPr>
                <w:b/>
                <w:sz w:val="22"/>
                <w:szCs w:val="22"/>
              </w:rPr>
            </w:pPr>
            <w:r>
              <w:rPr>
                <w:b/>
                <w:sz w:val="22"/>
                <w:szCs w:val="22"/>
              </w:rPr>
              <w:t>Welcome from Dr Leigh Doster</w:t>
            </w:r>
          </w:p>
          <w:p w:rsidR="00140060" w:rsidRDefault="00A426D4">
            <w:pPr>
              <w:jc w:val="center"/>
              <w:rPr>
                <w:b/>
                <w:sz w:val="22"/>
                <w:szCs w:val="22"/>
              </w:rPr>
            </w:pPr>
            <w:r>
              <w:rPr>
                <w:b/>
                <w:sz w:val="22"/>
                <w:szCs w:val="22"/>
              </w:rPr>
              <w:t>Head of the School of Management and Marketing</w:t>
            </w:r>
          </w:p>
          <w:p w:rsidR="00140060" w:rsidRDefault="00140060">
            <w:pPr>
              <w:jc w:val="both"/>
              <w:rPr>
                <w:sz w:val="22"/>
                <w:szCs w:val="22"/>
              </w:rPr>
            </w:pPr>
          </w:p>
          <w:p w:rsidR="00140060" w:rsidRDefault="00A426D4">
            <w:pPr>
              <w:rPr>
                <w:sz w:val="22"/>
                <w:szCs w:val="22"/>
              </w:rPr>
            </w:pPr>
            <w:r>
              <w:rPr>
                <w:sz w:val="22"/>
                <w:szCs w:val="22"/>
              </w:rPr>
              <w:t xml:space="preserve">Welcome to Westminster Business School and to the School of Management and Marketing where your course is based. We are delighted that you have chosen to study with us and look forward to meeting you in September, but in the meantime, we thought you might </w:t>
            </w:r>
            <w:r>
              <w:rPr>
                <w:sz w:val="22"/>
                <w:szCs w:val="22"/>
              </w:rPr>
              <w:t>like some more information about our School and what to expect when you arrive.</w:t>
            </w:r>
          </w:p>
          <w:p w:rsidR="00140060" w:rsidRDefault="00140060">
            <w:pPr>
              <w:rPr>
                <w:sz w:val="22"/>
                <w:szCs w:val="22"/>
              </w:rPr>
            </w:pPr>
          </w:p>
          <w:p w:rsidR="00140060" w:rsidRDefault="00A426D4">
            <w:pPr>
              <w:rPr>
                <w:sz w:val="22"/>
                <w:szCs w:val="22"/>
              </w:rPr>
            </w:pPr>
            <w:r>
              <w:rPr>
                <w:sz w:val="22"/>
                <w:szCs w:val="22"/>
              </w:rPr>
              <w:t>We are a vibrant school of around 60 academics and pride ourselves on being business focused whilst creating a warm and friendly learning environment for our students. We offe</w:t>
            </w:r>
            <w:r>
              <w:rPr>
                <w:sz w:val="22"/>
                <w:szCs w:val="22"/>
              </w:rPr>
              <w:t xml:space="preserve">r five undergraduate courses plus a foundation </w:t>
            </w:r>
            <w:proofErr w:type="spellStart"/>
            <w:r>
              <w:rPr>
                <w:sz w:val="22"/>
                <w:szCs w:val="22"/>
              </w:rPr>
              <w:t>programme</w:t>
            </w:r>
            <w:proofErr w:type="spellEnd"/>
            <w:r>
              <w:rPr>
                <w:sz w:val="22"/>
                <w:szCs w:val="22"/>
              </w:rPr>
              <w:t xml:space="preserve"> and four postgraduate courses. Our fabulous location in the </w:t>
            </w:r>
            <w:proofErr w:type="spellStart"/>
            <w:r>
              <w:rPr>
                <w:sz w:val="22"/>
                <w:szCs w:val="22"/>
              </w:rPr>
              <w:t>centre</w:t>
            </w:r>
            <w:proofErr w:type="spellEnd"/>
            <w:r>
              <w:rPr>
                <w:sz w:val="22"/>
                <w:szCs w:val="22"/>
              </w:rPr>
              <w:t xml:space="preserve"> of London generates unique opportunities for events and interactions with industry that are not readily available elsewhere.</w:t>
            </w:r>
          </w:p>
          <w:p w:rsidR="00140060" w:rsidRDefault="00140060">
            <w:pPr>
              <w:rPr>
                <w:sz w:val="22"/>
                <w:szCs w:val="22"/>
              </w:rPr>
            </w:pPr>
          </w:p>
          <w:p w:rsidR="00140060" w:rsidRDefault="00A426D4">
            <w:pPr>
              <w:rPr>
                <w:sz w:val="22"/>
                <w:szCs w:val="22"/>
              </w:rPr>
            </w:pPr>
            <w:r>
              <w:rPr>
                <w:sz w:val="22"/>
                <w:szCs w:val="22"/>
              </w:rPr>
              <w:t>We are</w:t>
            </w:r>
            <w:r>
              <w:rPr>
                <w:sz w:val="22"/>
                <w:szCs w:val="22"/>
              </w:rPr>
              <w:t xml:space="preserve"> large enough to provide you with superb facilities and exciting options but small enough to get to know you all personally and for you to get to know each other. The way we do this is through a course focused approach. </w:t>
            </w:r>
            <w:proofErr w:type="gramStart"/>
            <w:r>
              <w:rPr>
                <w:sz w:val="22"/>
                <w:szCs w:val="22"/>
              </w:rPr>
              <w:t>So</w:t>
            </w:r>
            <w:proofErr w:type="gramEnd"/>
            <w:r>
              <w:rPr>
                <w:sz w:val="22"/>
                <w:szCs w:val="22"/>
              </w:rPr>
              <w:t xml:space="preserve"> during Arrivals Week (w/c 16</w:t>
            </w:r>
            <w:r>
              <w:rPr>
                <w:sz w:val="22"/>
                <w:szCs w:val="22"/>
                <w:vertAlign w:val="superscript"/>
              </w:rPr>
              <w:t>th</w:t>
            </w:r>
            <w:r>
              <w:rPr>
                <w:sz w:val="22"/>
                <w:szCs w:val="22"/>
              </w:rPr>
              <w:t xml:space="preserve"> Se</w:t>
            </w:r>
            <w:r>
              <w:rPr>
                <w:sz w:val="22"/>
                <w:szCs w:val="22"/>
              </w:rPr>
              <w:t>ptember) you will get to meet your Course Leader and Team, your Personal Tutor and fellow students and take part in a range of activities that will ensure that you have all the information you need to be able to start your studies.</w:t>
            </w:r>
          </w:p>
          <w:p w:rsidR="00140060" w:rsidRDefault="00140060">
            <w:pPr>
              <w:rPr>
                <w:sz w:val="22"/>
                <w:szCs w:val="22"/>
              </w:rPr>
            </w:pPr>
          </w:p>
          <w:p w:rsidR="00140060" w:rsidRDefault="00A426D4">
            <w:pPr>
              <w:rPr>
                <w:sz w:val="22"/>
                <w:szCs w:val="22"/>
              </w:rPr>
            </w:pPr>
            <w:r>
              <w:rPr>
                <w:sz w:val="22"/>
                <w:szCs w:val="22"/>
              </w:rPr>
              <w:t>Becoming a university s</w:t>
            </w:r>
            <w:r>
              <w:rPr>
                <w:sz w:val="22"/>
                <w:szCs w:val="22"/>
              </w:rPr>
              <w:t>tudent presents you with an exciting challenge and I urge you to make the most of your time with us and take advantage of everything that comes your way, in that way you will enhance your experience with us and add value to your future career. I wish you t</w:t>
            </w:r>
            <w:r>
              <w:rPr>
                <w:sz w:val="22"/>
                <w:szCs w:val="22"/>
              </w:rPr>
              <w:t>he very best at the start of your journey with Westminster.</w:t>
            </w:r>
          </w:p>
          <w:p w:rsidR="00140060" w:rsidRDefault="00140060">
            <w:pPr>
              <w:rPr>
                <w:sz w:val="22"/>
                <w:szCs w:val="22"/>
              </w:rPr>
            </w:pPr>
          </w:p>
          <w:p w:rsidR="00140060" w:rsidRDefault="00A426D4">
            <w:pPr>
              <w:rPr>
                <w:b/>
                <w:sz w:val="22"/>
                <w:szCs w:val="22"/>
              </w:rPr>
            </w:pPr>
            <w:r>
              <w:rPr>
                <w:sz w:val="22"/>
                <w:szCs w:val="22"/>
              </w:rPr>
              <w:t>Best wishes</w:t>
            </w:r>
          </w:p>
          <w:p w:rsidR="00140060" w:rsidRDefault="00A426D4">
            <w:pPr>
              <w:rPr>
                <w:b/>
                <w:sz w:val="22"/>
                <w:szCs w:val="22"/>
              </w:rPr>
            </w:pPr>
            <w:r>
              <w:rPr>
                <w:b/>
                <w:sz w:val="22"/>
                <w:szCs w:val="22"/>
              </w:rPr>
              <w:t>Leigh</w:t>
            </w:r>
          </w:p>
          <w:p w:rsidR="00140060" w:rsidRDefault="00A426D4">
            <w:pPr>
              <w:pStyle w:val="Heading1"/>
              <w:rPr>
                <w:sz w:val="22"/>
                <w:szCs w:val="22"/>
              </w:rPr>
            </w:pPr>
            <w:r>
              <w:rPr>
                <w:sz w:val="22"/>
                <w:szCs w:val="22"/>
              </w:rPr>
              <w:t>COURSE LEADER</w:t>
            </w:r>
          </w:p>
          <w:p w:rsidR="00140060" w:rsidRDefault="00A426D4">
            <w:pPr>
              <w:jc w:val="center"/>
              <w:rPr>
                <w:b/>
                <w:sz w:val="22"/>
                <w:szCs w:val="22"/>
              </w:rPr>
            </w:pPr>
            <w:r>
              <w:rPr>
                <w:b/>
                <w:sz w:val="22"/>
                <w:szCs w:val="22"/>
              </w:rPr>
              <w:t>WELCOME</w:t>
            </w:r>
          </w:p>
          <w:p w:rsidR="00140060" w:rsidRDefault="00A426D4">
            <w:pPr>
              <w:jc w:val="center"/>
              <w:rPr>
                <w:b/>
                <w:sz w:val="22"/>
                <w:szCs w:val="22"/>
              </w:rPr>
            </w:pPr>
            <w:r>
              <w:rPr>
                <w:b/>
                <w:sz w:val="22"/>
                <w:szCs w:val="22"/>
              </w:rPr>
              <w:t>BA Business Management Levels 5 and 6</w:t>
            </w:r>
          </w:p>
          <w:p w:rsidR="00140060" w:rsidRDefault="00A426D4">
            <w:pPr>
              <w:rPr>
                <w:sz w:val="22"/>
                <w:szCs w:val="22"/>
              </w:rPr>
            </w:pPr>
            <w:r>
              <w:rPr>
                <w:noProof/>
              </w:rPr>
              <w:drawing>
                <wp:anchor distT="0" distB="0" distL="114300" distR="114300" simplePos="0" relativeHeight="251660288" behindDoc="0" locked="0" layoutInCell="1" hidden="0" allowOverlap="1">
                  <wp:simplePos x="0" y="0"/>
                  <wp:positionH relativeFrom="column">
                    <wp:posOffset>-57784</wp:posOffset>
                  </wp:positionH>
                  <wp:positionV relativeFrom="paragraph">
                    <wp:posOffset>24130</wp:posOffset>
                  </wp:positionV>
                  <wp:extent cx="981710" cy="1134745"/>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81710" cy="113474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1023620</wp:posOffset>
                  </wp:positionH>
                  <wp:positionV relativeFrom="paragraph">
                    <wp:posOffset>1270</wp:posOffset>
                  </wp:positionV>
                  <wp:extent cx="904875" cy="1162685"/>
                  <wp:effectExtent l="0" t="0" r="0" b="0"/>
                  <wp:wrapSquare wrapText="bothSides" distT="0" distB="0" distL="114300" distR="114300"/>
                  <wp:docPr id="9" name="image2.jpg" descr="C:\Users\landerc\AppData\Local\Microsoft\Windows\INetCache\Content.MSO\21155D5F.tmp"/>
                  <wp:cNvGraphicFramePr/>
                  <a:graphic xmlns:a="http://schemas.openxmlformats.org/drawingml/2006/main">
                    <a:graphicData uri="http://schemas.openxmlformats.org/drawingml/2006/picture">
                      <pic:pic xmlns:pic="http://schemas.openxmlformats.org/drawingml/2006/picture">
                        <pic:nvPicPr>
                          <pic:cNvPr id="0" name="image2.jpg" descr="C:\Users\landerc\AppData\Local\Microsoft\Windows\INetCache\Content.MSO\21155D5F.tmp"/>
                          <pic:cNvPicPr preferRelativeResize="0"/>
                        </pic:nvPicPr>
                        <pic:blipFill>
                          <a:blip r:embed="rId8"/>
                          <a:srcRect/>
                          <a:stretch>
                            <a:fillRect/>
                          </a:stretch>
                        </pic:blipFill>
                        <pic:spPr>
                          <a:xfrm>
                            <a:off x="0" y="0"/>
                            <a:ext cx="904875" cy="1162685"/>
                          </a:xfrm>
                          <a:prstGeom prst="rect">
                            <a:avLst/>
                          </a:prstGeom>
                          <a:ln/>
                        </pic:spPr>
                      </pic:pic>
                    </a:graphicData>
                  </a:graphic>
                </wp:anchor>
              </w:drawing>
            </w:r>
          </w:p>
          <w:p w:rsidR="00140060" w:rsidRDefault="00A426D4">
            <w:pPr>
              <w:rPr>
                <w:sz w:val="22"/>
                <w:szCs w:val="22"/>
              </w:rPr>
            </w:pPr>
            <w:r>
              <w:rPr>
                <w:sz w:val="22"/>
                <w:szCs w:val="22"/>
              </w:rPr>
              <w:t>Welcome to BA Business Management!</w:t>
            </w:r>
          </w:p>
          <w:p w:rsidR="00140060" w:rsidRDefault="00140060">
            <w:pPr>
              <w:rPr>
                <w:sz w:val="22"/>
                <w:szCs w:val="22"/>
              </w:rPr>
            </w:pPr>
          </w:p>
          <w:p w:rsidR="00140060" w:rsidRDefault="00A426D4">
            <w:pPr>
              <w:rPr>
                <w:sz w:val="22"/>
                <w:szCs w:val="22"/>
              </w:rPr>
            </w:pPr>
            <w:r>
              <w:rPr>
                <w:sz w:val="22"/>
                <w:szCs w:val="22"/>
              </w:rPr>
              <w:t xml:space="preserve"> Orientation activities are important to you to ensure that you have </w:t>
            </w:r>
            <w:proofErr w:type="gramStart"/>
            <w:r>
              <w:rPr>
                <w:sz w:val="22"/>
                <w:szCs w:val="22"/>
              </w:rPr>
              <w:t>all of</w:t>
            </w:r>
            <w:proofErr w:type="gramEnd"/>
            <w:r>
              <w:rPr>
                <w:sz w:val="22"/>
                <w:szCs w:val="22"/>
              </w:rPr>
              <w:t xml:space="preserve"> th</w:t>
            </w:r>
            <w:r>
              <w:rPr>
                <w:sz w:val="22"/>
                <w:szCs w:val="22"/>
              </w:rPr>
              <w:t>e knowledge required to do well in your studies.  Orientation is designed to give you key information and an opportunity to meet staff and fellow students. The key to success in your studies is to make friends, form study groups among yourselves and attend</w:t>
            </w:r>
            <w:r>
              <w:rPr>
                <w:sz w:val="22"/>
                <w:szCs w:val="22"/>
              </w:rPr>
              <w:t xml:space="preserve"> all timetabled events. </w:t>
            </w:r>
          </w:p>
          <w:p w:rsidR="00140060" w:rsidRDefault="00140060">
            <w:pPr>
              <w:rPr>
                <w:sz w:val="22"/>
                <w:szCs w:val="22"/>
              </w:rPr>
            </w:pPr>
          </w:p>
          <w:p w:rsidR="00140060" w:rsidRDefault="00A426D4">
            <w:pPr>
              <w:rPr>
                <w:sz w:val="22"/>
                <w:szCs w:val="22"/>
              </w:rPr>
            </w:pPr>
            <w:r>
              <w:rPr>
                <w:sz w:val="22"/>
                <w:szCs w:val="22"/>
              </w:rPr>
              <w:t>Rachel Lander and Kamala Balu</w:t>
            </w:r>
          </w:p>
          <w:p w:rsidR="00140060" w:rsidRDefault="00A426D4">
            <w:pPr>
              <w:rPr>
                <w:sz w:val="22"/>
                <w:szCs w:val="22"/>
              </w:rPr>
            </w:pPr>
            <w:r>
              <w:rPr>
                <w:sz w:val="22"/>
                <w:szCs w:val="22"/>
              </w:rPr>
              <w:t>BA Business Management Course Leaders.</w:t>
            </w:r>
          </w:p>
        </w:tc>
      </w:tr>
      <w:tr w:rsidR="00140060">
        <w:trPr>
          <w:trHeight w:val="3440"/>
          <w:jc w:val="center"/>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rsidR="00140060" w:rsidRDefault="00140060">
            <w:pPr>
              <w:pBdr>
                <w:top w:val="nil"/>
                <w:left w:val="nil"/>
                <w:bottom w:val="nil"/>
                <w:right w:val="nil"/>
                <w:between w:val="nil"/>
              </w:pBdr>
              <w:spacing w:after="120"/>
              <w:jc w:val="center"/>
              <w:rPr>
                <w:b/>
                <w:color w:val="000000"/>
                <w:sz w:val="22"/>
                <w:szCs w:val="22"/>
              </w:rPr>
            </w:pPr>
          </w:p>
          <w:tbl>
            <w:tblPr>
              <w:tblStyle w:val="a0"/>
              <w:tblW w:w="10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3362"/>
              <w:gridCol w:w="3362"/>
            </w:tblGrid>
            <w:tr w:rsidR="00140060">
              <w:tc>
                <w:tcPr>
                  <w:tcW w:w="10086" w:type="dxa"/>
                  <w:gridSpan w:val="3"/>
                  <w:shd w:val="clear" w:color="auto" w:fill="92CCF3"/>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Thursday 19</w:t>
                  </w:r>
                  <w:r>
                    <w:rPr>
                      <w:b/>
                      <w:color w:val="000000"/>
                      <w:sz w:val="22"/>
                      <w:szCs w:val="22"/>
                      <w:vertAlign w:val="superscript"/>
                    </w:rPr>
                    <w:t>th</w:t>
                  </w:r>
                  <w:r>
                    <w:rPr>
                      <w:b/>
                      <w:color w:val="000000"/>
                      <w:sz w:val="22"/>
                      <w:szCs w:val="22"/>
                    </w:rPr>
                    <w:t xml:space="preserve"> September</w:t>
                  </w:r>
                </w:p>
                <w:p w:rsidR="00140060" w:rsidRDefault="00A426D4">
                  <w:pPr>
                    <w:jc w:val="center"/>
                  </w:pPr>
                  <w:r>
                    <w:rPr>
                      <w:b/>
                      <w:color w:val="000000"/>
                      <w:sz w:val="22"/>
                      <w:szCs w:val="22"/>
                    </w:rPr>
                    <w:t>10:00 – 16:00: Arrivals Fair, Ambika P3 Marylebone Campus</w:t>
                  </w:r>
                </w:p>
                <w:p w:rsidR="00140060" w:rsidRDefault="00140060">
                  <w:pPr>
                    <w:pBdr>
                      <w:top w:val="nil"/>
                      <w:left w:val="nil"/>
                      <w:bottom w:val="nil"/>
                      <w:right w:val="nil"/>
                      <w:between w:val="nil"/>
                    </w:pBdr>
                    <w:spacing w:after="120"/>
                    <w:jc w:val="center"/>
                    <w:rPr>
                      <w:b/>
                      <w:color w:val="000000"/>
                      <w:sz w:val="22"/>
                      <w:szCs w:val="22"/>
                    </w:rPr>
                  </w:pPr>
                </w:p>
              </w:tc>
            </w:tr>
            <w:tr w:rsidR="00140060">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Time</w:t>
                  </w:r>
                </w:p>
              </w:tc>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Event</w:t>
                  </w:r>
                </w:p>
              </w:tc>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Location</w:t>
                  </w:r>
                </w:p>
              </w:tc>
            </w:tr>
            <w:tr w:rsidR="00140060">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12:00 – 13:00</w:t>
                  </w:r>
                </w:p>
              </w:tc>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Welcome to the School of Management and Marketing (Levels 5 and 6)</w:t>
                  </w:r>
                </w:p>
              </w:tc>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Hogg</w:t>
                  </w:r>
                  <w:bookmarkStart w:id="0" w:name="_GoBack"/>
                  <w:bookmarkEnd w:id="0"/>
                  <w:r>
                    <w:rPr>
                      <w:b/>
                      <w:color w:val="000000"/>
                      <w:sz w:val="22"/>
                      <w:szCs w:val="22"/>
                    </w:rPr>
                    <w:t xml:space="preserve"> Lecture Theatre</w:t>
                  </w:r>
                </w:p>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Marylebone Campus</w:t>
                  </w:r>
                </w:p>
                <w:p w:rsidR="00140060" w:rsidRDefault="00A426D4">
                  <w:pPr>
                    <w:pBdr>
                      <w:top w:val="nil"/>
                      <w:left w:val="nil"/>
                      <w:bottom w:val="nil"/>
                      <w:right w:val="nil"/>
                      <w:between w:val="nil"/>
                    </w:pBdr>
                    <w:spacing w:after="120"/>
                    <w:jc w:val="center"/>
                    <w:rPr>
                      <w:sz w:val="22"/>
                      <w:szCs w:val="22"/>
                    </w:rPr>
                  </w:pPr>
                  <w:r>
                    <w:rPr>
                      <w:sz w:val="22"/>
                      <w:szCs w:val="22"/>
                    </w:rPr>
                    <w:t>35 Marylebone Rd, Marylebone, London NW1 5LS</w:t>
                  </w:r>
                </w:p>
              </w:tc>
            </w:tr>
            <w:tr w:rsidR="00140060">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14:00 – 15.30</w:t>
                  </w:r>
                </w:p>
              </w:tc>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Course Leaders Welcome</w:t>
                  </w:r>
                </w:p>
              </w:tc>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Cayley Lecture Theatre</w:t>
                  </w:r>
                </w:p>
                <w:p w:rsidR="00140060" w:rsidRDefault="00A426D4">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r w:rsidR="00140060">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TBC</w:t>
                  </w:r>
                </w:p>
                <w:p w:rsidR="00140060" w:rsidRDefault="00140060">
                  <w:pPr>
                    <w:pBdr>
                      <w:top w:val="nil"/>
                      <w:left w:val="nil"/>
                      <w:bottom w:val="nil"/>
                      <w:right w:val="nil"/>
                      <w:between w:val="nil"/>
                    </w:pBdr>
                    <w:spacing w:after="120"/>
                    <w:jc w:val="center"/>
                    <w:rPr>
                      <w:b/>
                      <w:color w:val="000000"/>
                      <w:sz w:val="22"/>
                      <w:szCs w:val="22"/>
                    </w:rPr>
                  </w:pPr>
                </w:p>
              </w:tc>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Enrolment</w:t>
                  </w:r>
                </w:p>
                <w:p w:rsidR="00140060" w:rsidRDefault="00140060">
                  <w:pPr>
                    <w:pBdr>
                      <w:top w:val="nil"/>
                      <w:left w:val="nil"/>
                      <w:bottom w:val="nil"/>
                      <w:right w:val="nil"/>
                      <w:between w:val="nil"/>
                    </w:pBdr>
                    <w:spacing w:after="120"/>
                    <w:jc w:val="center"/>
                    <w:rPr>
                      <w:b/>
                      <w:color w:val="000000"/>
                      <w:sz w:val="22"/>
                      <w:szCs w:val="22"/>
                    </w:rPr>
                  </w:pPr>
                </w:p>
              </w:tc>
              <w:tc>
                <w:tcPr>
                  <w:tcW w:w="3362" w:type="dxa"/>
                </w:tcPr>
                <w:p w:rsidR="00140060" w:rsidRDefault="00A426D4">
                  <w:pPr>
                    <w:pBdr>
                      <w:top w:val="nil"/>
                      <w:left w:val="nil"/>
                      <w:bottom w:val="nil"/>
                      <w:right w:val="nil"/>
                      <w:between w:val="nil"/>
                    </w:pBdr>
                    <w:spacing w:after="120"/>
                    <w:jc w:val="center"/>
                    <w:rPr>
                      <w:b/>
                      <w:color w:val="000000"/>
                      <w:sz w:val="22"/>
                      <w:szCs w:val="22"/>
                    </w:rPr>
                  </w:pPr>
                  <w:bookmarkStart w:id="1" w:name="_heading=h.gjdgxs" w:colFirst="0" w:colLast="0"/>
                  <w:bookmarkEnd w:id="1"/>
                  <w:r>
                    <w:rPr>
                      <w:b/>
                      <w:color w:val="000000"/>
                      <w:sz w:val="22"/>
                      <w:szCs w:val="22"/>
                    </w:rPr>
                    <w:t>Marylebone Campus</w:t>
                  </w:r>
                </w:p>
              </w:tc>
            </w:tr>
            <w:tr w:rsidR="00140060">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17:00 – 18:00</w:t>
                  </w:r>
                </w:p>
                <w:p w:rsidR="00140060" w:rsidRDefault="00140060">
                  <w:pPr>
                    <w:pBdr>
                      <w:top w:val="nil"/>
                      <w:left w:val="nil"/>
                      <w:bottom w:val="nil"/>
                      <w:right w:val="nil"/>
                      <w:between w:val="nil"/>
                    </w:pBdr>
                    <w:spacing w:after="120"/>
                    <w:rPr>
                      <w:b/>
                      <w:color w:val="000000"/>
                      <w:sz w:val="22"/>
                      <w:szCs w:val="22"/>
                    </w:rPr>
                  </w:pPr>
                </w:p>
              </w:tc>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IT Induction</w:t>
                  </w:r>
                </w:p>
              </w:tc>
              <w:tc>
                <w:tcPr>
                  <w:tcW w:w="3362" w:type="dxa"/>
                </w:tcPr>
                <w:p w:rsidR="00140060" w:rsidRDefault="00A426D4">
                  <w:pPr>
                    <w:pBdr>
                      <w:top w:val="nil"/>
                      <w:left w:val="nil"/>
                      <w:bottom w:val="nil"/>
                      <w:right w:val="nil"/>
                      <w:between w:val="nil"/>
                    </w:pBdr>
                    <w:spacing w:after="120"/>
                    <w:jc w:val="center"/>
                    <w:rPr>
                      <w:b/>
                      <w:color w:val="000000"/>
                      <w:sz w:val="22"/>
                      <w:szCs w:val="22"/>
                    </w:rPr>
                  </w:pPr>
                  <w:r>
                    <w:rPr>
                      <w:b/>
                      <w:color w:val="000000"/>
                      <w:sz w:val="22"/>
                      <w:szCs w:val="22"/>
                    </w:rPr>
                    <w:t>Lab B16</w:t>
                  </w:r>
                </w:p>
                <w:p w:rsidR="00140060" w:rsidRDefault="00A426D4">
                  <w:pPr>
                    <w:pBdr>
                      <w:top w:val="nil"/>
                      <w:left w:val="nil"/>
                      <w:bottom w:val="nil"/>
                      <w:right w:val="nil"/>
                      <w:between w:val="nil"/>
                    </w:pBdr>
                    <w:spacing w:after="120"/>
                    <w:jc w:val="center"/>
                    <w:rPr>
                      <w:b/>
                      <w:color w:val="000000"/>
                      <w:sz w:val="22"/>
                      <w:szCs w:val="22"/>
                    </w:rPr>
                  </w:pPr>
                  <w:r>
                    <w:rPr>
                      <w:color w:val="000000"/>
                      <w:sz w:val="22"/>
                      <w:szCs w:val="22"/>
                    </w:rPr>
                    <w:t>Marylebone Campus</w:t>
                  </w:r>
                </w:p>
              </w:tc>
            </w:tr>
          </w:tbl>
          <w:p w:rsidR="00140060" w:rsidRDefault="00140060">
            <w:pPr>
              <w:pBdr>
                <w:top w:val="nil"/>
                <w:left w:val="nil"/>
                <w:bottom w:val="nil"/>
                <w:right w:val="nil"/>
                <w:between w:val="nil"/>
              </w:pBdr>
              <w:spacing w:after="120"/>
              <w:jc w:val="center"/>
              <w:rPr>
                <w:b/>
                <w:color w:val="000000"/>
                <w:sz w:val="22"/>
                <w:szCs w:val="22"/>
              </w:rPr>
            </w:pPr>
          </w:p>
        </w:tc>
      </w:tr>
      <w:tr w:rsidR="00140060">
        <w:trPr>
          <w:trHeight w:val="1660"/>
          <w:jc w:val="center"/>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rsidR="00140060" w:rsidRDefault="00A426D4">
            <w:pPr>
              <w:rPr>
                <w:sz w:val="22"/>
                <w:szCs w:val="22"/>
              </w:rPr>
            </w:pPr>
            <w:r>
              <w:rPr>
                <w:sz w:val="22"/>
                <w:szCs w:val="22"/>
              </w:rPr>
              <w:t>READING LIST</w:t>
            </w:r>
          </w:p>
          <w:p w:rsidR="00140060" w:rsidRDefault="00A426D4">
            <w:pPr>
              <w:rPr>
                <w:sz w:val="22"/>
                <w:szCs w:val="22"/>
              </w:rPr>
            </w:pPr>
            <w:r>
              <w:rPr>
                <w:sz w:val="22"/>
                <w:szCs w:val="22"/>
              </w:rPr>
              <w:t>Core Reading for second and final year modules:  Some of these texts will be available on line and on some modules a customized text book is adopted</w:t>
            </w:r>
          </w:p>
          <w:p w:rsidR="00140060" w:rsidRDefault="00140060">
            <w:pPr>
              <w:rPr>
                <w:sz w:val="22"/>
                <w:szCs w:val="22"/>
              </w:rPr>
            </w:pPr>
          </w:p>
          <w:p w:rsidR="00140060" w:rsidRDefault="00A426D4">
            <w:pPr>
              <w:rPr>
                <w:sz w:val="22"/>
                <w:szCs w:val="22"/>
              </w:rPr>
            </w:pPr>
            <w:r>
              <w:rPr>
                <w:sz w:val="22"/>
                <w:szCs w:val="22"/>
              </w:rPr>
              <w:t>LEVEL 5</w:t>
            </w:r>
          </w:p>
          <w:p w:rsidR="00140060" w:rsidRDefault="00A426D4">
            <w:pPr>
              <w:spacing w:before="280" w:after="280"/>
              <w:rPr>
                <w:sz w:val="22"/>
                <w:szCs w:val="22"/>
              </w:rPr>
            </w:pPr>
            <w:r>
              <w:rPr>
                <w:sz w:val="22"/>
                <w:szCs w:val="22"/>
              </w:rPr>
              <w:t xml:space="preserve">Banfield, P, and Kay, R (2012) </w:t>
            </w:r>
            <w:r>
              <w:rPr>
                <w:i/>
                <w:sz w:val="22"/>
                <w:szCs w:val="22"/>
              </w:rPr>
              <w:t>Introduction to Human Resource Management</w:t>
            </w:r>
            <w:r>
              <w:rPr>
                <w:sz w:val="22"/>
                <w:szCs w:val="22"/>
              </w:rPr>
              <w:t xml:space="preserve"> (2</w:t>
            </w:r>
            <w:r>
              <w:rPr>
                <w:sz w:val="22"/>
                <w:szCs w:val="22"/>
                <w:vertAlign w:val="superscript"/>
              </w:rPr>
              <w:t>nd</w:t>
            </w:r>
            <w:r>
              <w:rPr>
                <w:sz w:val="22"/>
                <w:szCs w:val="22"/>
              </w:rPr>
              <w:t xml:space="preserve"> ed).  Oxford: Oxford University Press. </w:t>
            </w:r>
          </w:p>
          <w:p w:rsidR="00140060" w:rsidRDefault="00A426D4">
            <w:pPr>
              <w:spacing w:before="280" w:after="280"/>
              <w:rPr>
                <w:sz w:val="22"/>
                <w:szCs w:val="22"/>
              </w:rPr>
            </w:pPr>
            <w:r>
              <w:rPr>
                <w:sz w:val="22"/>
                <w:szCs w:val="22"/>
              </w:rPr>
              <w:t xml:space="preserve">Cottrell, S (2015) </w:t>
            </w:r>
            <w:r>
              <w:rPr>
                <w:i/>
                <w:sz w:val="22"/>
                <w:szCs w:val="22"/>
              </w:rPr>
              <w:t>Skills for Success: Personal Development and Employability</w:t>
            </w:r>
            <w:r>
              <w:rPr>
                <w:sz w:val="22"/>
                <w:szCs w:val="22"/>
              </w:rPr>
              <w:t xml:space="preserve"> (3</w:t>
            </w:r>
            <w:r>
              <w:rPr>
                <w:sz w:val="22"/>
                <w:szCs w:val="22"/>
                <w:vertAlign w:val="superscript"/>
              </w:rPr>
              <w:t>rd</w:t>
            </w:r>
            <w:r>
              <w:rPr>
                <w:sz w:val="22"/>
                <w:szCs w:val="22"/>
              </w:rPr>
              <w:t xml:space="preserve"> ed).  London: Palgrave Macmillan. </w:t>
            </w:r>
          </w:p>
          <w:p w:rsidR="00140060" w:rsidRDefault="00A426D4">
            <w:pPr>
              <w:spacing w:before="280" w:after="280"/>
              <w:ind w:right="-330"/>
              <w:rPr>
                <w:sz w:val="22"/>
                <w:szCs w:val="22"/>
              </w:rPr>
            </w:pPr>
            <w:proofErr w:type="spellStart"/>
            <w:r>
              <w:rPr>
                <w:sz w:val="22"/>
                <w:szCs w:val="22"/>
              </w:rPr>
              <w:t>Keat</w:t>
            </w:r>
            <w:proofErr w:type="spellEnd"/>
            <w:r>
              <w:rPr>
                <w:sz w:val="22"/>
                <w:szCs w:val="22"/>
              </w:rPr>
              <w:t xml:space="preserve">, P. &amp; Young, P. (2013) </w:t>
            </w:r>
            <w:r>
              <w:rPr>
                <w:i/>
                <w:sz w:val="22"/>
                <w:szCs w:val="22"/>
              </w:rPr>
              <w:t>Managerial Economics</w:t>
            </w:r>
            <w:r>
              <w:rPr>
                <w:sz w:val="22"/>
                <w:szCs w:val="22"/>
              </w:rPr>
              <w:t>. (7th Ed.) Harlow, England: Prentice-Hall. </w:t>
            </w:r>
          </w:p>
          <w:p w:rsidR="00140060" w:rsidRDefault="00A426D4">
            <w:pPr>
              <w:spacing w:before="280" w:after="280"/>
              <w:rPr>
                <w:sz w:val="22"/>
                <w:szCs w:val="22"/>
              </w:rPr>
            </w:pPr>
            <w:r>
              <w:rPr>
                <w:sz w:val="22"/>
                <w:szCs w:val="22"/>
              </w:rPr>
              <w:t xml:space="preserve">Paton, S., Clegg, B., </w:t>
            </w:r>
            <w:proofErr w:type="spellStart"/>
            <w:r>
              <w:rPr>
                <w:sz w:val="22"/>
                <w:szCs w:val="22"/>
              </w:rPr>
              <w:t>Hsuan</w:t>
            </w:r>
            <w:proofErr w:type="spellEnd"/>
            <w:r>
              <w:rPr>
                <w:sz w:val="22"/>
                <w:szCs w:val="22"/>
              </w:rPr>
              <w:t>, J. and Pilkington, A.  (2011). Operations Management.  Maidenhead: McGraw Hill Higher Education </w:t>
            </w:r>
          </w:p>
          <w:p w:rsidR="00140060" w:rsidRDefault="00A426D4">
            <w:pPr>
              <w:spacing w:before="280" w:after="280"/>
              <w:ind w:right="-330"/>
              <w:rPr>
                <w:sz w:val="22"/>
                <w:szCs w:val="22"/>
              </w:rPr>
            </w:pPr>
            <w:r>
              <w:rPr>
                <w:sz w:val="22"/>
                <w:szCs w:val="22"/>
              </w:rPr>
              <w:t xml:space="preserve">Seal, W. (2011) </w:t>
            </w:r>
            <w:r>
              <w:rPr>
                <w:i/>
                <w:sz w:val="22"/>
                <w:szCs w:val="22"/>
              </w:rPr>
              <w:t>Management Accounting</w:t>
            </w:r>
            <w:r>
              <w:rPr>
                <w:i/>
                <w:sz w:val="22"/>
                <w:szCs w:val="22"/>
              </w:rPr>
              <w:t xml:space="preserve"> for Business Decisions</w:t>
            </w:r>
            <w:r>
              <w:rPr>
                <w:sz w:val="22"/>
                <w:szCs w:val="22"/>
              </w:rPr>
              <w:t>. Maidenhead, England: McGraw-Hill. </w:t>
            </w:r>
          </w:p>
          <w:p w:rsidR="00140060" w:rsidRDefault="00A426D4">
            <w:pPr>
              <w:spacing w:before="280" w:after="280"/>
              <w:ind w:right="-330"/>
              <w:rPr>
                <w:sz w:val="22"/>
                <w:szCs w:val="22"/>
              </w:rPr>
            </w:pPr>
            <w:r>
              <w:rPr>
                <w:sz w:val="22"/>
                <w:szCs w:val="22"/>
              </w:rPr>
              <w:t xml:space="preserve">Teale, M., </w:t>
            </w:r>
            <w:proofErr w:type="spellStart"/>
            <w:r>
              <w:rPr>
                <w:sz w:val="22"/>
                <w:szCs w:val="22"/>
              </w:rPr>
              <w:t>Dispenza</w:t>
            </w:r>
            <w:proofErr w:type="spellEnd"/>
            <w:r>
              <w:rPr>
                <w:sz w:val="22"/>
                <w:szCs w:val="22"/>
              </w:rPr>
              <w:t xml:space="preserve">, V., Flynn, J. &amp; Currie, D. (2003) </w:t>
            </w:r>
            <w:r>
              <w:rPr>
                <w:i/>
                <w:sz w:val="22"/>
                <w:szCs w:val="22"/>
              </w:rPr>
              <w:t>Management Decision-Making</w:t>
            </w:r>
            <w:r>
              <w:rPr>
                <w:sz w:val="22"/>
                <w:szCs w:val="22"/>
              </w:rPr>
              <w:t>. Harlow, England: Pearson.</w:t>
            </w:r>
          </w:p>
          <w:p w:rsidR="00140060" w:rsidRDefault="00A426D4">
            <w:pPr>
              <w:spacing w:before="280" w:after="280"/>
              <w:ind w:right="-330"/>
              <w:rPr>
                <w:sz w:val="22"/>
                <w:szCs w:val="22"/>
              </w:rPr>
            </w:pPr>
            <w:r>
              <w:rPr>
                <w:sz w:val="22"/>
                <w:szCs w:val="22"/>
              </w:rPr>
              <w:t>LEVEL 6</w:t>
            </w:r>
          </w:p>
          <w:p w:rsidR="00140060" w:rsidRDefault="00A426D4">
            <w:pPr>
              <w:spacing w:before="280" w:after="280"/>
              <w:jc w:val="both"/>
              <w:rPr>
                <w:sz w:val="22"/>
                <w:szCs w:val="22"/>
              </w:rPr>
            </w:pPr>
            <w:r>
              <w:rPr>
                <w:sz w:val="22"/>
                <w:szCs w:val="22"/>
              </w:rPr>
              <w:t xml:space="preserve"> Bruton, G.D. &amp; White, M.A. (2011) </w:t>
            </w:r>
            <w:r>
              <w:rPr>
                <w:i/>
                <w:sz w:val="22"/>
                <w:szCs w:val="22"/>
              </w:rPr>
              <w:t>Strategic Management of Technology and Innovation</w:t>
            </w:r>
            <w:r>
              <w:rPr>
                <w:sz w:val="22"/>
                <w:szCs w:val="22"/>
              </w:rPr>
              <w:t>. London: Cengage Learning.  </w:t>
            </w:r>
          </w:p>
          <w:p w:rsidR="00140060" w:rsidRDefault="00A426D4">
            <w:pPr>
              <w:spacing w:before="280" w:after="280"/>
              <w:rPr>
                <w:sz w:val="22"/>
                <w:szCs w:val="22"/>
              </w:rPr>
            </w:pPr>
            <w:r>
              <w:rPr>
                <w:sz w:val="22"/>
                <w:szCs w:val="22"/>
              </w:rPr>
              <w:t xml:space="preserve">Bryman, A. &amp; Bell, E. (2015) </w:t>
            </w:r>
            <w:r>
              <w:rPr>
                <w:i/>
                <w:sz w:val="22"/>
                <w:szCs w:val="22"/>
              </w:rPr>
              <w:t>Business Research Methods</w:t>
            </w:r>
            <w:r>
              <w:rPr>
                <w:sz w:val="22"/>
                <w:szCs w:val="22"/>
              </w:rPr>
              <w:t>. (4</w:t>
            </w:r>
            <w:r>
              <w:rPr>
                <w:sz w:val="22"/>
                <w:szCs w:val="22"/>
                <w:vertAlign w:val="superscript"/>
              </w:rPr>
              <w:t>th</w:t>
            </w:r>
            <w:r>
              <w:rPr>
                <w:sz w:val="22"/>
                <w:szCs w:val="22"/>
              </w:rPr>
              <w:t xml:space="preserve"> ed.) Oxford: Oxford University Press. </w:t>
            </w:r>
          </w:p>
          <w:p w:rsidR="00140060" w:rsidRDefault="00A426D4">
            <w:pPr>
              <w:pBdr>
                <w:top w:val="nil"/>
                <w:left w:val="nil"/>
                <w:bottom w:val="nil"/>
                <w:right w:val="nil"/>
                <w:between w:val="nil"/>
              </w:pBdr>
              <w:ind w:right="-330"/>
              <w:rPr>
                <w:color w:val="000000"/>
                <w:sz w:val="22"/>
                <w:szCs w:val="22"/>
              </w:rPr>
            </w:pPr>
            <w:proofErr w:type="spellStart"/>
            <w:r>
              <w:rPr>
                <w:color w:val="000000"/>
                <w:sz w:val="22"/>
                <w:szCs w:val="22"/>
              </w:rPr>
              <w:t>Haberberg</w:t>
            </w:r>
            <w:proofErr w:type="spellEnd"/>
            <w:r>
              <w:rPr>
                <w:color w:val="000000"/>
                <w:sz w:val="22"/>
                <w:szCs w:val="22"/>
              </w:rPr>
              <w:t xml:space="preserve">, A. &amp; Rieple, A. (2008) </w:t>
            </w:r>
            <w:r>
              <w:rPr>
                <w:i/>
                <w:color w:val="000000"/>
                <w:sz w:val="22"/>
                <w:szCs w:val="22"/>
              </w:rPr>
              <w:t>Strategic Management: Theory and Applicatio</w:t>
            </w:r>
            <w:r>
              <w:rPr>
                <w:i/>
                <w:color w:val="000000"/>
                <w:sz w:val="22"/>
                <w:szCs w:val="22"/>
              </w:rPr>
              <w:t>n</w:t>
            </w:r>
            <w:r>
              <w:rPr>
                <w:color w:val="000000"/>
                <w:sz w:val="22"/>
                <w:szCs w:val="22"/>
              </w:rPr>
              <w:t>. Oxford: Oxford University Press</w:t>
            </w:r>
          </w:p>
          <w:p w:rsidR="00140060" w:rsidRDefault="00A426D4">
            <w:pPr>
              <w:spacing w:before="280" w:after="280"/>
              <w:ind w:right="-330"/>
              <w:rPr>
                <w:sz w:val="22"/>
                <w:szCs w:val="22"/>
              </w:rPr>
            </w:pPr>
            <w:r>
              <w:rPr>
                <w:sz w:val="22"/>
                <w:szCs w:val="22"/>
              </w:rPr>
              <w:lastRenderedPageBreak/>
              <w:t xml:space="preserve">Tidd, J. &amp; Bessant, J. (2013) </w:t>
            </w:r>
            <w:r>
              <w:rPr>
                <w:i/>
                <w:sz w:val="22"/>
                <w:szCs w:val="22"/>
              </w:rPr>
              <w:t>Managing Innovation: Integrating Technological, Market and Organizational Change</w:t>
            </w:r>
            <w:r>
              <w:rPr>
                <w:sz w:val="22"/>
                <w:szCs w:val="22"/>
              </w:rPr>
              <w:t>. Chichester, England:  John Wiley &amp; Sons Ltd. (selected chapters). </w:t>
            </w:r>
          </w:p>
          <w:p w:rsidR="00140060" w:rsidRDefault="00A426D4">
            <w:pPr>
              <w:pBdr>
                <w:top w:val="nil"/>
                <w:left w:val="nil"/>
                <w:bottom w:val="nil"/>
                <w:right w:val="nil"/>
                <w:between w:val="nil"/>
              </w:pBdr>
              <w:rPr>
                <w:color w:val="000000"/>
                <w:sz w:val="22"/>
                <w:szCs w:val="22"/>
              </w:rPr>
            </w:pPr>
            <w:r>
              <w:rPr>
                <w:color w:val="000000"/>
                <w:sz w:val="22"/>
                <w:szCs w:val="22"/>
              </w:rPr>
              <w:t>The following ‘pocket study guides’ are ea</w:t>
            </w:r>
            <w:r>
              <w:rPr>
                <w:color w:val="000000"/>
                <w:sz w:val="22"/>
                <w:szCs w:val="22"/>
              </w:rPr>
              <w:t>sy to read, not expensive and will be very helpful to you: </w:t>
            </w:r>
          </w:p>
          <w:p w:rsidR="00140060" w:rsidRDefault="00A426D4">
            <w:pPr>
              <w:pBdr>
                <w:top w:val="nil"/>
                <w:left w:val="nil"/>
                <w:bottom w:val="nil"/>
                <w:right w:val="nil"/>
                <w:between w:val="nil"/>
              </w:pBdr>
              <w:rPr>
                <w:color w:val="000000"/>
                <w:sz w:val="22"/>
                <w:szCs w:val="22"/>
              </w:rPr>
            </w:pPr>
            <w:r>
              <w:rPr>
                <w:color w:val="000000"/>
                <w:sz w:val="22"/>
                <w:szCs w:val="22"/>
              </w:rPr>
              <w:t xml:space="preserve"> Godfrey, J (2011) </w:t>
            </w:r>
            <w:r>
              <w:rPr>
                <w:i/>
                <w:color w:val="000000"/>
                <w:sz w:val="22"/>
                <w:szCs w:val="22"/>
              </w:rPr>
              <w:t xml:space="preserve">Writing for University.  </w:t>
            </w:r>
            <w:r>
              <w:rPr>
                <w:color w:val="000000"/>
                <w:sz w:val="22"/>
                <w:szCs w:val="22"/>
              </w:rPr>
              <w:t>Hampshire: Palgrave Macmillan </w:t>
            </w:r>
          </w:p>
          <w:p w:rsidR="00140060" w:rsidRDefault="00A426D4">
            <w:pPr>
              <w:pBdr>
                <w:top w:val="nil"/>
                <w:left w:val="nil"/>
                <w:bottom w:val="nil"/>
                <w:right w:val="nil"/>
                <w:between w:val="nil"/>
              </w:pBdr>
              <w:rPr>
                <w:color w:val="000000"/>
                <w:sz w:val="22"/>
                <w:szCs w:val="22"/>
              </w:rPr>
            </w:pPr>
            <w:r>
              <w:rPr>
                <w:color w:val="000000"/>
                <w:sz w:val="22"/>
                <w:szCs w:val="22"/>
              </w:rPr>
              <w:t xml:space="preserve"> Williams, K and Carroll, J (2009) </w:t>
            </w:r>
            <w:r>
              <w:rPr>
                <w:i/>
                <w:color w:val="000000"/>
                <w:sz w:val="22"/>
                <w:szCs w:val="22"/>
              </w:rPr>
              <w:t>Referencing and Understanding Plagiarism. </w:t>
            </w:r>
            <w:r>
              <w:rPr>
                <w:color w:val="000000"/>
                <w:sz w:val="22"/>
                <w:szCs w:val="22"/>
              </w:rPr>
              <w:t xml:space="preserve"> Hampshire: Palgrave Macmillan </w:t>
            </w:r>
          </w:p>
          <w:p w:rsidR="00140060" w:rsidRDefault="00A426D4">
            <w:pPr>
              <w:pBdr>
                <w:top w:val="nil"/>
                <w:left w:val="nil"/>
                <w:bottom w:val="nil"/>
                <w:right w:val="nil"/>
                <w:between w:val="nil"/>
              </w:pBdr>
              <w:rPr>
                <w:color w:val="000000"/>
                <w:sz w:val="22"/>
                <w:szCs w:val="22"/>
              </w:rPr>
            </w:pPr>
            <w:r>
              <w:rPr>
                <w:color w:val="000000"/>
                <w:sz w:val="22"/>
                <w:szCs w:val="22"/>
              </w:rPr>
              <w:t> Williams, K (2014).</w:t>
            </w:r>
            <w:r>
              <w:rPr>
                <w:i/>
                <w:color w:val="000000"/>
                <w:sz w:val="22"/>
                <w:szCs w:val="22"/>
              </w:rPr>
              <w:t xml:space="preserve"> Getting Critical. </w:t>
            </w:r>
            <w:r>
              <w:rPr>
                <w:color w:val="000000"/>
                <w:sz w:val="22"/>
                <w:szCs w:val="22"/>
              </w:rPr>
              <w:t>(2</w:t>
            </w:r>
            <w:r>
              <w:rPr>
                <w:color w:val="000000"/>
                <w:sz w:val="22"/>
                <w:szCs w:val="22"/>
                <w:vertAlign w:val="superscript"/>
              </w:rPr>
              <w:t>nd</w:t>
            </w:r>
            <w:r>
              <w:rPr>
                <w:color w:val="000000"/>
                <w:sz w:val="22"/>
                <w:szCs w:val="22"/>
              </w:rPr>
              <w:t xml:space="preserve"> ed) Hampshire: Palgrave Macmillan</w:t>
            </w:r>
            <w:r>
              <w:rPr>
                <w:i/>
                <w:color w:val="000000"/>
                <w:sz w:val="22"/>
                <w:szCs w:val="22"/>
              </w:rPr>
              <w:t> </w:t>
            </w:r>
            <w:r>
              <w:rPr>
                <w:color w:val="000000"/>
                <w:sz w:val="22"/>
                <w:szCs w:val="22"/>
              </w:rPr>
              <w:t> </w:t>
            </w:r>
          </w:p>
          <w:p w:rsidR="00140060" w:rsidRDefault="00140060">
            <w:pPr>
              <w:rPr>
                <w:sz w:val="22"/>
                <w:szCs w:val="22"/>
              </w:rPr>
            </w:pPr>
          </w:p>
        </w:tc>
      </w:tr>
    </w:tbl>
    <w:p w:rsidR="00140060" w:rsidRDefault="00140060">
      <w:pPr>
        <w:rPr>
          <w:sz w:val="22"/>
          <w:szCs w:val="22"/>
        </w:rPr>
      </w:pPr>
    </w:p>
    <w:sectPr w:rsidR="00140060">
      <w:pgSz w:w="12240" w:h="15840"/>
      <w:pgMar w:top="936" w:right="936" w:bottom="936" w:left="936" w:header="576"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60"/>
    <w:rsid w:val="00140060"/>
    <w:rsid w:val="00A42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5320"/>
  <w15:docId w15:val="{C7080C2C-E52F-45C1-A04B-09914015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9"/>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9"/>
    <w:semiHidden/>
    <w:unhideWhenUsed/>
    <w:qFormat/>
    <w:rsid w:val="00A860BB"/>
    <w:pPr>
      <w:outlineLvl w:val="1"/>
    </w:pPr>
    <w:rPr>
      <w:b/>
      <w: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860BB"/>
    <w:pPr>
      <w:contextualSpacing/>
      <w:jc w:val="center"/>
    </w:pPr>
    <w:rPr>
      <w:rFonts w:asciiTheme="majorHAnsi" w:eastAsiaTheme="majorEastAsia" w:hAnsiTheme="majorHAnsi" w:cstheme="majorBidi"/>
      <w:color w:val="147ABD" w:themeColor="accent1"/>
      <w:kern w:val="28"/>
      <w:sz w:val="40"/>
      <w:szCs w:val="56"/>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paragraph">
    <w:name w:val="paragraph"/>
    <w:basedOn w:val="Normal"/>
    <w:rsid w:val="00ED3C24"/>
    <w:pPr>
      <w:spacing w:before="100" w:beforeAutospacing="1" w:after="100" w:afterAutospacing="1"/>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ED3C24"/>
  </w:style>
  <w:style w:type="character" w:customStyle="1" w:styleId="eop">
    <w:name w:val="eop"/>
    <w:basedOn w:val="DefaultParagraphFont"/>
    <w:rsid w:val="00ED3C24"/>
  </w:style>
  <w:style w:type="character" w:customStyle="1" w:styleId="spellingerror">
    <w:name w:val="spellingerror"/>
    <w:basedOn w:val="DefaultParagraphFont"/>
    <w:rsid w:val="00ED3C24"/>
  </w:style>
  <w:style w:type="character" w:customStyle="1" w:styleId="contextualspellingandgrammarerror">
    <w:name w:val="contextualspellingandgrammarerror"/>
    <w:basedOn w:val="DefaultParagraphFont"/>
    <w:rsid w:val="00ED3C2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Ak0Vx3bjFvuZ0UKyT9ifPfKKQ==">AMUW2mUKp1PvgzwKVnbUg/O6MtjSlB6Bv3b8XmYNsKh00AN1U6YsQv6lla/CMSLzXoIFaSje3S8/q6N4yiYfOCZ1T8LH7z2vAISDXoWnVh6aZdjeIKxFpO/wTwOM7G0QompTHj+ymF+s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Scroggins</dc:creator>
  <cp:lastModifiedBy>Daniel Scroggins</cp:lastModifiedBy>
  <cp:revision>2</cp:revision>
  <dcterms:created xsi:type="dcterms:W3CDTF">2019-09-06T13:22:00Z</dcterms:created>
  <dcterms:modified xsi:type="dcterms:W3CDTF">2019-09-06T13:22:00Z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