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10" name="image4.png"/>
            <a:graphic>
              <a:graphicData uri="http://schemas.openxmlformats.org/drawingml/2006/picture">
                <pic:pic>
                  <pic:nvPicPr>
                    <pic:cNvPr descr="WBSlogo300" id="0" name="image4.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A">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Business Management Direct Entry (L5 &amp; L6 students)</w:t>
            </w:r>
            <w:r w:rsidDel="00000000" w:rsidR="00000000" w:rsidRPr="00000000">
              <w:rPr>
                <w:rtl w:val="0"/>
              </w:rPr>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B">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87630</wp:posOffset>
                  </wp:positionV>
                  <wp:extent cx="1137285" cy="1294765"/>
                  <wp:effectExtent b="0" l="0" r="0" t="0"/>
                  <wp:wrapSquare wrapText="bothSides" distB="0" distT="0" distL="114300" distR="114300"/>
                  <wp:docPr descr="Leigh - March 2017.jpg" id="8" name="image3.jpg"/>
                  <a:graphic>
                    <a:graphicData uri="http://schemas.openxmlformats.org/drawingml/2006/picture">
                      <pic:pic>
                        <pic:nvPicPr>
                          <pic:cNvPr descr="Leigh - March 2017.jpg" id="0" name="image3.jpg"/>
                          <pic:cNvPicPr preferRelativeResize="0"/>
                        </pic:nvPicPr>
                        <pic:blipFill>
                          <a:blip r:embed="rId8"/>
                          <a:srcRect b="28763" l="0" r="9359" t="2558"/>
                          <a:stretch>
                            <a:fillRect/>
                          </a:stretch>
                        </pic:blipFill>
                        <pic:spPr>
                          <a:xfrm>
                            <a:off x="0" y="0"/>
                            <a:ext cx="1137285" cy="1294765"/>
                          </a:xfrm>
                          <a:prstGeom prst="rect"/>
                          <a:ln/>
                        </pic:spPr>
                      </pic:pic>
                    </a:graphicData>
                  </a:graphic>
                </wp:anchor>
              </w:drawing>
            </w:r>
          </w:p>
          <w:p w:rsidR="00000000" w:rsidDel="00000000" w:rsidP="00000000" w:rsidRDefault="00000000" w:rsidRPr="00000000" w14:paraId="0000000C">
            <w:pPr>
              <w:jc w:val="center"/>
              <w:rPr>
                <w:b w:val="1"/>
                <w:sz w:val="22"/>
                <w:szCs w:val="22"/>
              </w:rPr>
            </w:pPr>
            <w:r w:rsidDel="00000000" w:rsidR="00000000" w:rsidRPr="00000000">
              <w:rPr>
                <w:b w:val="1"/>
                <w:sz w:val="22"/>
                <w:szCs w:val="22"/>
                <w:rtl w:val="0"/>
              </w:rPr>
              <w:t xml:space="preserve">Welcome from Dr Leigh Doster</w:t>
            </w:r>
          </w:p>
          <w:p w:rsidR="00000000" w:rsidDel="00000000" w:rsidP="00000000" w:rsidRDefault="00000000" w:rsidRPr="00000000" w14:paraId="0000000D">
            <w:pPr>
              <w:jc w:val="center"/>
              <w:rPr>
                <w:b w:val="1"/>
                <w:sz w:val="22"/>
                <w:szCs w:val="22"/>
              </w:rPr>
            </w:pPr>
            <w:r w:rsidDel="00000000" w:rsidR="00000000" w:rsidRPr="00000000">
              <w:rPr>
                <w:b w:val="1"/>
                <w:sz w:val="22"/>
                <w:szCs w:val="22"/>
                <w:rtl w:val="0"/>
              </w:rPr>
              <w:t xml:space="preserve">Head of the School of Management and Marketing</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We are large enough to provide you with superb facilities and exciting options but small enough to get to know you all personally and for you to get to know each other. The way we do this is through a course focused approach. So during Arrivals Week (w/c 16</w:t>
            </w:r>
            <w:r w:rsidDel="00000000" w:rsidR="00000000" w:rsidRPr="00000000">
              <w:rPr>
                <w:sz w:val="22"/>
                <w:szCs w:val="22"/>
                <w:vertAlign w:val="superscript"/>
                <w:rtl w:val="0"/>
              </w:rPr>
              <w:t xml:space="preserve">th</w:t>
            </w:r>
            <w:r w:rsidDel="00000000" w:rsidR="00000000" w:rsidRPr="00000000">
              <w:rPr>
                <w:sz w:val="22"/>
                <w:szCs w:val="22"/>
                <w:rtl w:val="0"/>
              </w:rPr>
              <w:t xml:space="preserve"> September) you will get to meet your Course Leader and Team, your Personal Tutor and fellow students and take part in a range of activities that will ensure that you have all the information you need to be able to start your studies.</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sz w:val="22"/>
                <w:szCs w:val="22"/>
                <w:rtl w:val="0"/>
              </w:rPr>
              <w:t xml:space="preserve">Best wishes</w:t>
            </w: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Leigh</w:t>
            </w:r>
          </w:p>
          <w:p w:rsidR="00000000" w:rsidDel="00000000" w:rsidP="00000000" w:rsidRDefault="00000000" w:rsidRPr="00000000" w14:paraId="00000019">
            <w:pPr>
              <w:pStyle w:val="Heading1"/>
              <w:rPr>
                <w:sz w:val="22"/>
                <w:szCs w:val="22"/>
              </w:rPr>
            </w:pPr>
            <w:r w:rsidDel="00000000" w:rsidR="00000000" w:rsidRPr="00000000">
              <w:rPr>
                <w:sz w:val="22"/>
                <w:szCs w:val="22"/>
                <w:rtl w:val="0"/>
              </w:rPr>
              <w:t xml:space="preserve">COURSE LEADER</w:t>
            </w:r>
          </w:p>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WELCOME</w:t>
            </w:r>
          </w:p>
          <w:p w:rsidR="00000000" w:rsidDel="00000000" w:rsidP="00000000" w:rsidRDefault="00000000" w:rsidRPr="00000000" w14:paraId="0000001B">
            <w:pPr>
              <w:jc w:val="center"/>
              <w:rPr>
                <w:b w:val="1"/>
                <w:sz w:val="22"/>
                <w:szCs w:val="22"/>
              </w:rPr>
            </w:pPr>
            <w:r w:rsidDel="00000000" w:rsidR="00000000" w:rsidRPr="00000000">
              <w:rPr>
                <w:b w:val="1"/>
                <w:sz w:val="22"/>
                <w:szCs w:val="22"/>
                <w:rtl w:val="0"/>
              </w:rPr>
              <w:t xml:space="preserve">BA Business Management Levels 5 and 6</w:t>
            </w:r>
          </w:p>
          <w:p w:rsidR="00000000" w:rsidDel="00000000" w:rsidP="00000000" w:rsidRDefault="00000000" w:rsidRPr="00000000" w14:paraId="0000001C">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-57784</wp:posOffset>
                  </wp:positionH>
                  <wp:positionV relativeFrom="paragraph">
                    <wp:posOffset>24130</wp:posOffset>
                  </wp:positionV>
                  <wp:extent cx="981710" cy="113474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81710" cy="11347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1023620</wp:posOffset>
                  </wp:positionH>
                  <wp:positionV relativeFrom="paragraph">
                    <wp:posOffset>1270</wp:posOffset>
                  </wp:positionV>
                  <wp:extent cx="904875" cy="1162685"/>
                  <wp:effectExtent b="0" l="0" r="0" t="0"/>
                  <wp:wrapSquare wrapText="bothSides" distB="0" distT="0" distL="114300" distR="114300"/>
                  <wp:docPr descr="C:\Users\landerc\AppData\Local\Microsoft\Windows\INetCache\Content.MSO\21155D5F.tmp" id="9" name="image2.jpg"/>
                  <a:graphic>
                    <a:graphicData uri="http://schemas.openxmlformats.org/drawingml/2006/picture">
                      <pic:pic>
                        <pic:nvPicPr>
                          <pic:cNvPr descr="C:\Users\landerc\AppData\Local\Microsoft\Windows\INetCache\Content.MSO\21155D5F.tmp" id="0" name="image2.jpg"/>
                          <pic:cNvPicPr preferRelativeResize="0"/>
                        </pic:nvPicPr>
                        <pic:blipFill>
                          <a:blip r:embed="rId10"/>
                          <a:srcRect b="0" l="0" r="0" t="0"/>
                          <a:stretch>
                            <a:fillRect/>
                          </a:stretch>
                        </pic:blipFill>
                        <pic:spPr>
                          <a:xfrm>
                            <a:off x="0" y="0"/>
                            <a:ext cx="904875" cy="1162685"/>
                          </a:xfrm>
                          <a:prstGeom prst="rect"/>
                          <a:ln/>
                        </pic:spPr>
                      </pic:pic>
                    </a:graphicData>
                  </a:graphic>
                </wp:anchor>
              </w:drawing>
            </w:r>
          </w:p>
          <w:p w:rsidR="00000000" w:rsidDel="00000000" w:rsidP="00000000" w:rsidRDefault="00000000" w:rsidRPr="00000000" w14:paraId="0000001D">
            <w:pPr>
              <w:rPr>
                <w:sz w:val="22"/>
                <w:szCs w:val="22"/>
              </w:rPr>
            </w:pPr>
            <w:r w:rsidDel="00000000" w:rsidR="00000000" w:rsidRPr="00000000">
              <w:rPr>
                <w:sz w:val="22"/>
                <w:szCs w:val="22"/>
                <w:rtl w:val="0"/>
              </w:rPr>
              <w:t xml:space="preserve">Welcome to BA Business Management!</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 Orientation activities are important to you to ensure that you have all of the knowledge required to do well in your studies.  Orientation is designed to give you key information and an opportunity to meet staff and fellow students. The key to success in your studies is to make friends, form study groups among yourselves and attend all timetabled events. </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Rachel Lander and Kamala Balu</w:t>
            </w:r>
          </w:p>
          <w:p w:rsidR="00000000" w:rsidDel="00000000" w:rsidP="00000000" w:rsidRDefault="00000000" w:rsidRPr="00000000" w14:paraId="00000022">
            <w:pPr>
              <w:rPr>
                <w:sz w:val="22"/>
                <w:szCs w:val="22"/>
              </w:rPr>
            </w:pPr>
            <w:r w:rsidDel="00000000" w:rsidR="00000000" w:rsidRPr="00000000">
              <w:rPr>
                <w:sz w:val="22"/>
                <w:szCs w:val="22"/>
                <w:rtl w:val="0"/>
              </w:rPr>
              <w:t xml:space="preserve">BA Business Management Course Leaders.</w:t>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w:t>
                  </w:r>
                </w:p>
                <w:p w:rsidR="00000000" w:rsidDel="00000000" w:rsidP="00000000" w:rsidRDefault="00000000" w:rsidRPr="00000000" w14:paraId="00000025">
                  <w:pPr>
                    <w:jc w:val="center"/>
                    <w:rPr/>
                  </w:pPr>
                  <w:r w:rsidDel="00000000" w:rsidR="00000000" w:rsidRPr="00000000">
                    <w:rPr>
                      <w:rFonts w:ascii="Arial" w:cs="Arial" w:eastAsia="Arial" w:hAnsi="Arial"/>
                      <w:b w:val="1"/>
                      <w:color w:val="000000"/>
                      <w:sz w:val="22"/>
                      <w:szCs w:val="22"/>
                      <w:rtl w:val="0"/>
                    </w:rPr>
                    <w:t xml:space="preserve">10:00 – 16:00: Arrivals Fair, Ambika P3 Marylebone Campus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13:00</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School of Management and Marketing (Levels 5 and 6)</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Wood Lecture Theatre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15.30</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Leaders Welcome</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TBC</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17:00 – 18:00</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Induction</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40">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41">
            <w:pPr>
              <w:rPr>
                <w:sz w:val="22"/>
                <w:szCs w:val="22"/>
              </w:rPr>
            </w:pPr>
            <w:r w:rsidDel="00000000" w:rsidR="00000000" w:rsidRPr="00000000">
              <w:rPr>
                <w:sz w:val="22"/>
                <w:szCs w:val="22"/>
                <w:rtl w:val="0"/>
              </w:rPr>
              <w:t xml:space="preserve">Core Reading for second and final year modules:  Some of these texts will be available on line and on some modules a customized text book is adopted</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sz w:val="22"/>
                <w:szCs w:val="22"/>
                <w:rtl w:val="0"/>
              </w:rPr>
              <w:t xml:space="preserve">LEVEL 5</w:t>
            </w:r>
          </w:p>
          <w:p w:rsidR="00000000" w:rsidDel="00000000" w:rsidP="00000000" w:rsidRDefault="00000000" w:rsidRPr="00000000" w14:paraId="00000044">
            <w:pPr>
              <w:spacing w:after="280" w:before="280" w:lineRule="auto"/>
              <w:rPr>
                <w:sz w:val="22"/>
                <w:szCs w:val="22"/>
              </w:rPr>
            </w:pPr>
            <w:r w:rsidDel="00000000" w:rsidR="00000000" w:rsidRPr="00000000">
              <w:rPr>
                <w:sz w:val="22"/>
                <w:szCs w:val="22"/>
                <w:rtl w:val="0"/>
              </w:rPr>
              <w:t xml:space="preserve">Banfield, P, and Kay, R (2012) </w:t>
            </w:r>
            <w:r w:rsidDel="00000000" w:rsidR="00000000" w:rsidRPr="00000000">
              <w:rPr>
                <w:i w:val="1"/>
                <w:sz w:val="22"/>
                <w:szCs w:val="22"/>
                <w:rtl w:val="0"/>
              </w:rPr>
              <w:t xml:space="preserve">Introduction to Human Resource Management</w:t>
            </w:r>
            <w:r w:rsidDel="00000000" w:rsidR="00000000" w:rsidRPr="00000000">
              <w:rPr>
                <w:sz w:val="22"/>
                <w:szCs w:val="22"/>
                <w:rtl w:val="0"/>
              </w:rPr>
              <w:t xml:space="preserve"> (2</w:t>
            </w:r>
            <w:r w:rsidDel="00000000" w:rsidR="00000000" w:rsidRPr="00000000">
              <w:rPr>
                <w:sz w:val="22"/>
                <w:szCs w:val="22"/>
                <w:vertAlign w:val="superscript"/>
                <w:rtl w:val="0"/>
              </w:rPr>
              <w:t xml:space="preserve">nd</w:t>
            </w:r>
            <w:r w:rsidDel="00000000" w:rsidR="00000000" w:rsidRPr="00000000">
              <w:rPr>
                <w:sz w:val="22"/>
                <w:szCs w:val="22"/>
                <w:rtl w:val="0"/>
              </w:rPr>
              <w:t xml:space="preserve"> ed).  Oxford: Oxford University Press. </w:t>
            </w:r>
          </w:p>
          <w:p w:rsidR="00000000" w:rsidDel="00000000" w:rsidP="00000000" w:rsidRDefault="00000000" w:rsidRPr="00000000" w14:paraId="00000045">
            <w:pPr>
              <w:spacing w:after="280" w:before="280" w:lineRule="auto"/>
              <w:rPr>
                <w:sz w:val="22"/>
                <w:szCs w:val="22"/>
              </w:rPr>
            </w:pPr>
            <w:r w:rsidDel="00000000" w:rsidR="00000000" w:rsidRPr="00000000">
              <w:rPr>
                <w:sz w:val="22"/>
                <w:szCs w:val="22"/>
                <w:rtl w:val="0"/>
              </w:rPr>
              <w:t xml:space="preserve">Cottrell, S (2015) </w:t>
            </w:r>
            <w:r w:rsidDel="00000000" w:rsidR="00000000" w:rsidRPr="00000000">
              <w:rPr>
                <w:i w:val="1"/>
                <w:sz w:val="22"/>
                <w:szCs w:val="22"/>
                <w:rtl w:val="0"/>
              </w:rPr>
              <w:t xml:space="preserve">Skills for Success: Personal Development and Employability</w:t>
            </w:r>
            <w:r w:rsidDel="00000000" w:rsidR="00000000" w:rsidRPr="00000000">
              <w:rPr>
                <w:sz w:val="22"/>
                <w:szCs w:val="22"/>
                <w:rtl w:val="0"/>
              </w:rPr>
              <w:t xml:space="preserve"> (3</w:t>
            </w:r>
            <w:r w:rsidDel="00000000" w:rsidR="00000000" w:rsidRPr="00000000">
              <w:rPr>
                <w:sz w:val="22"/>
                <w:szCs w:val="22"/>
                <w:vertAlign w:val="superscript"/>
                <w:rtl w:val="0"/>
              </w:rPr>
              <w:t xml:space="preserve">rd</w:t>
            </w:r>
            <w:r w:rsidDel="00000000" w:rsidR="00000000" w:rsidRPr="00000000">
              <w:rPr>
                <w:sz w:val="22"/>
                <w:szCs w:val="22"/>
                <w:rtl w:val="0"/>
              </w:rPr>
              <w:t xml:space="preserve"> ed).  London: Palgrave Macmillan. </w:t>
            </w:r>
          </w:p>
          <w:p w:rsidR="00000000" w:rsidDel="00000000" w:rsidP="00000000" w:rsidRDefault="00000000" w:rsidRPr="00000000" w14:paraId="00000046">
            <w:pPr>
              <w:spacing w:after="280" w:before="280" w:lineRule="auto"/>
              <w:ind w:right="-330"/>
              <w:rPr>
                <w:sz w:val="22"/>
                <w:szCs w:val="22"/>
              </w:rPr>
            </w:pPr>
            <w:r w:rsidDel="00000000" w:rsidR="00000000" w:rsidRPr="00000000">
              <w:rPr>
                <w:sz w:val="22"/>
                <w:szCs w:val="22"/>
                <w:rtl w:val="0"/>
              </w:rPr>
              <w:t xml:space="preserve">Keat, P. &amp; Young, P. (2013) </w:t>
            </w:r>
            <w:r w:rsidDel="00000000" w:rsidR="00000000" w:rsidRPr="00000000">
              <w:rPr>
                <w:i w:val="1"/>
                <w:sz w:val="22"/>
                <w:szCs w:val="22"/>
                <w:rtl w:val="0"/>
              </w:rPr>
              <w:t xml:space="preserve">Managerial Economics</w:t>
            </w:r>
            <w:r w:rsidDel="00000000" w:rsidR="00000000" w:rsidRPr="00000000">
              <w:rPr>
                <w:sz w:val="22"/>
                <w:szCs w:val="22"/>
                <w:rtl w:val="0"/>
              </w:rPr>
              <w:t xml:space="preserve">. (7th Ed.) Harlow, England: Prentice-Hall. </w:t>
            </w:r>
          </w:p>
          <w:p w:rsidR="00000000" w:rsidDel="00000000" w:rsidP="00000000" w:rsidRDefault="00000000" w:rsidRPr="00000000" w14:paraId="00000047">
            <w:pPr>
              <w:spacing w:after="280" w:before="280" w:lineRule="auto"/>
              <w:rPr>
                <w:sz w:val="22"/>
                <w:szCs w:val="22"/>
              </w:rPr>
            </w:pPr>
            <w:r w:rsidDel="00000000" w:rsidR="00000000" w:rsidRPr="00000000">
              <w:rPr>
                <w:sz w:val="22"/>
                <w:szCs w:val="22"/>
                <w:rtl w:val="0"/>
              </w:rPr>
              <w:t xml:space="preserve">Paton, S., Clegg, B., Hsuan, J. and Pilkington, A.  (2011). Operations Management.  Maidenhead: McGraw Hill Higher Education </w:t>
            </w:r>
          </w:p>
          <w:p w:rsidR="00000000" w:rsidDel="00000000" w:rsidP="00000000" w:rsidRDefault="00000000" w:rsidRPr="00000000" w14:paraId="00000048">
            <w:pPr>
              <w:spacing w:after="280" w:before="280" w:lineRule="auto"/>
              <w:ind w:right="-330"/>
              <w:rPr>
                <w:sz w:val="22"/>
                <w:szCs w:val="22"/>
              </w:rPr>
            </w:pPr>
            <w:r w:rsidDel="00000000" w:rsidR="00000000" w:rsidRPr="00000000">
              <w:rPr>
                <w:sz w:val="22"/>
                <w:szCs w:val="22"/>
                <w:rtl w:val="0"/>
              </w:rPr>
              <w:t xml:space="preserve">Seal, W. (2011) </w:t>
            </w:r>
            <w:r w:rsidDel="00000000" w:rsidR="00000000" w:rsidRPr="00000000">
              <w:rPr>
                <w:i w:val="1"/>
                <w:sz w:val="22"/>
                <w:szCs w:val="22"/>
                <w:rtl w:val="0"/>
              </w:rPr>
              <w:t xml:space="preserve">Management Accounting for Business Decisions</w:t>
            </w:r>
            <w:r w:rsidDel="00000000" w:rsidR="00000000" w:rsidRPr="00000000">
              <w:rPr>
                <w:sz w:val="22"/>
                <w:szCs w:val="22"/>
                <w:rtl w:val="0"/>
              </w:rPr>
              <w:t xml:space="preserve">. Maidenhead, England: McGraw-Hill. </w:t>
            </w:r>
          </w:p>
          <w:p w:rsidR="00000000" w:rsidDel="00000000" w:rsidP="00000000" w:rsidRDefault="00000000" w:rsidRPr="00000000" w14:paraId="00000049">
            <w:pPr>
              <w:spacing w:after="280" w:before="280" w:lineRule="auto"/>
              <w:ind w:right="-330"/>
              <w:rPr>
                <w:sz w:val="22"/>
                <w:szCs w:val="22"/>
              </w:rPr>
            </w:pPr>
            <w:r w:rsidDel="00000000" w:rsidR="00000000" w:rsidRPr="00000000">
              <w:rPr>
                <w:sz w:val="22"/>
                <w:szCs w:val="22"/>
                <w:rtl w:val="0"/>
              </w:rPr>
              <w:t xml:space="preserve">Teale, M., Dispenza, V., Flynn, J. &amp; Currie, D. (2003) </w:t>
            </w:r>
            <w:r w:rsidDel="00000000" w:rsidR="00000000" w:rsidRPr="00000000">
              <w:rPr>
                <w:i w:val="1"/>
                <w:sz w:val="22"/>
                <w:szCs w:val="22"/>
                <w:rtl w:val="0"/>
              </w:rPr>
              <w:t xml:space="preserve">Management Decision-Making</w:t>
            </w:r>
            <w:r w:rsidDel="00000000" w:rsidR="00000000" w:rsidRPr="00000000">
              <w:rPr>
                <w:sz w:val="22"/>
                <w:szCs w:val="22"/>
                <w:rtl w:val="0"/>
              </w:rPr>
              <w:t xml:space="preserve">. Harlow, England: Pearson.</w:t>
            </w:r>
          </w:p>
          <w:p w:rsidR="00000000" w:rsidDel="00000000" w:rsidP="00000000" w:rsidRDefault="00000000" w:rsidRPr="00000000" w14:paraId="0000004A">
            <w:pPr>
              <w:spacing w:after="280" w:before="280" w:lineRule="auto"/>
              <w:ind w:right="-330"/>
              <w:rPr>
                <w:sz w:val="22"/>
                <w:szCs w:val="22"/>
              </w:rPr>
            </w:pPr>
            <w:r w:rsidDel="00000000" w:rsidR="00000000" w:rsidRPr="00000000">
              <w:rPr>
                <w:sz w:val="22"/>
                <w:szCs w:val="22"/>
                <w:rtl w:val="0"/>
              </w:rPr>
              <w:t xml:space="preserve">LEVEL 6</w:t>
            </w:r>
          </w:p>
          <w:p w:rsidR="00000000" w:rsidDel="00000000" w:rsidP="00000000" w:rsidRDefault="00000000" w:rsidRPr="00000000" w14:paraId="0000004B">
            <w:pPr>
              <w:spacing w:after="280" w:before="280" w:lineRule="auto"/>
              <w:jc w:val="both"/>
              <w:rPr>
                <w:sz w:val="22"/>
                <w:szCs w:val="22"/>
              </w:rPr>
            </w:pPr>
            <w:r w:rsidDel="00000000" w:rsidR="00000000" w:rsidRPr="00000000">
              <w:rPr>
                <w:sz w:val="22"/>
                <w:szCs w:val="22"/>
                <w:rtl w:val="0"/>
              </w:rPr>
              <w:t xml:space="preserve"> Bruton, G.D. &amp; White, M.A. (2011) </w:t>
            </w:r>
            <w:r w:rsidDel="00000000" w:rsidR="00000000" w:rsidRPr="00000000">
              <w:rPr>
                <w:i w:val="1"/>
                <w:sz w:val="22"/>
                <w:szCs w:val="22"/>
                <w:rtl w:val="0"/>
              </w:rPr>
              <w:t xml:space="preserve">Strategic Management of Technology and Innovation</w:t>
            </w:r>
            <w:r w:rsidDel="00000000" w:rsidR="00000000" w:rsidRPr="00000000">
              <w:rPr>
                <w:sz w:val="22"/>
                <w:szCs w:val="22"/>
                <w:rtl w:val="0"/>
              </w:rPr>
              <w:t xml:space="preserve">. London: Cengage Learning.  </w:t>
            </w:r>
          </w:p>
          <w:p w:rsidR="00000000" w:rsidDel="00000000" w:rsidP="00000000" w:rsidRDefault="00000000" w:rsidRPr="00000000" w14:paraId="0000004C">
            <w:pPr>
              <w:spacing w:after="280" w:before="280" w:lineRule="auto"/>
              <w:rPr>
                <w:sz w:val="22"/>
                <w:szCs w:val="22"/>
              </w:rPr>
            </w:pPr>
            <w:r w:rsidDel="00000000" w:rsidR="00000000" w:rsidRPr="00000000">
              <w:rPr>
                <w:sz w:val="22"/>
                <w:szCs w:val="22"/>
                <w:rtl w:val="0"/>
              </w:rPr>
              <w:t xml:space="preserve">Bryman, A. &amp; Bell, E. (2015) </w:t>
            </w:r>
            <w:r w:rsidDel="00000000" w:rsidR="00000000" w:rsidRPr="00000000">
              <w:rPr>
                <w:i w:val="1"/>
                <w:sz w:val="22"/>
                <w:szCs w:val="22"/>
                <w:rtl w:val="0"/>
              </w:rPr>
              <w:t xml:space="preserve">Business Research Methods</w:t>
            </w:r>
            <w:r w:rsidDel="00000000" w:rsidR="00000000" w:rsidRPr="00000000">
              <w:rPr>
                <w:sz w:val="22"/>
                <w:szCs w:val="22"/>
                <w:rtl w:val="0"/>
              </w:rPr>
              <w:t xml:space="preserve">. (4</w:t>
            </w:r>
            <w:r w:rsidDel="00000000" w:rsidR="00000000" w:rsidRPr="00000000">
              <w:rPr>
                <w:sz w:val="22"/>
                <w:szCs w:val="22"/>
                <w:vertAlign w:val="superscript"/>
                <w:rtl w:val="0"/>
              </w:rPr>
              <w:t xml:space="preserve">th</w:t>
            </w:r>
            <w:r w:rsidDel="00000000" w:rsidR="00000000" w:rsidRPr="00000000">
              <w:rPr>
                <w:sz w:val="22"/>
                <w:szCs w:val="22"/>
                <w:rtl w:val="0"/>
              </w:rPr>
              <w:t xml:space="preserve"> ed.) Oxford: Oxford University Press.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Haberberg, A. &amp; Rieple, A. (2008)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Strategic Management: Theory and Application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Oxford University Press</w:t>
            </w:r>
          </w:p>
          <w:p w:rsidR="00000000" w:rsidDel="00000000" w:rsidP="00000000" w:rsidRDefault="00000000" w:rsidRPr="00000000" w14:paraId="0000004E">
            <w:pPr>
              <w:spacing w:after="280" w:before="280" w:lineRule="auto"/>
              <w:ind w:right="-330"/>
              <w:rPr>
                <w:sz w:val="22"/>
                <w:szCs w:val="22"/>
              </w:rPr>
            </w:pPr>
            <w:r w:rsidDel="00000000" w:rsidR="00000000" w:rsidRPr="00000000">
              <w:rPr>
                <w:sz w:val="22"/>
                <w:szCs w:val="22"/>
                <w:rtl w:val="0"/>
              </w:rPr>
              <w:t xml:space="preserve">Tidd, J. &amp; Bessant, J. (2013) </w:t>
            </w:r>
            <w:r w:rsidDel="00000000" w:rsidR="00000000" w:rsidRPr="00000000">
              <w:rPr>
                <w:i w:val="1"/>
                <w:sz w:val="22"/>
                <w:szCs w:val="22"/>
                <w:rtl w:val="0"/>
              </w:rPr>
              <w:t xml:space="preserve">Managing Innovation: Integrating Technological, Market and Organizational Change</w:t>
            </w:r>
            <w:r w:rsidDel="00000000" w:rsidR="00000000" w:rsidRPr="00000000">
              <w:rPr>
                <w:sz w:val="22"/>
                <w:szCs w:val="22"/>
                <w:rtl w:val="0"/>
              </w:rPr>
              <w:t xml:space="preserve">. Chichester, England:  John Wiley &amp; Sons Ltd. (selected chapters).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‘pocket study guides’ are easy to read, not expensive and will be very helpful to you: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Godfrey, J (2011)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Writing for University.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Hampshire: Palgrave Macmillan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Williams, K and Carroll, J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Referencing and Understanding Plagiarism.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Hampshire: Palgrave Macmillan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Williams, K (2014).</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Getting Critical.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 Hampshire: Palgrave Macmillan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rPr>
                <w:sz w:val="22"/>
                <w:szCs w:val="22"/>
              </w:rPr>
            </w:pPr>
            <w:r w:rsidDel="00000000" w:rsidR="00000000" w:rsidRPr="00000000">
              <w:rPr>
                <w:rtl w:val="0"/>
              </w:rPr>
            </w:r>
          </w:p>
        </w:tc>
      </w:tr>
    </w:tbl>
    <w:p w:rsidR="00000000" w:rsidDel="00000000" w:rsidP="00000000" w:rsidRDefault="00000000" w:rsidRPr="00000000" w14:paraId="00000054">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paragraph" w:customStyle="1">
    <w:name w:val="paragraph"/>
    <w:basedOn w:val="Normal"/>
    <w:rsid w:val="00ED3C24"/>
    <w:pPr>
      <w:spacing w:after="100" w:afterAutospacing="1" w:before="100" w:beforeAutospacing="1"/>
    </w:pPr>
    <w:rPr>
      <w:rFonts w:ascii="Times New Roman" w:cs="Times New Roman" w:eastAsia="Times New Roman" w:hAnsi="Times New Roman"/>
      <w:sz w:val="24"/>
      <w:szCs w:val="24"/>
      <w:lang w:eastAsia="en-GB" w:val="en-GB"/>
    </w:rPr>
  </w:style>
  <w:style w:type="character" w:styleId="normaltextrun" w:customStyle="1">
    <w:name w:val="normaltextrun"/>
    <w:basedOn w:val="DefaultParagraphFont"/>
    <w:rsid w:val="00ED3C24"/>
  </w:style>
  <w:style w:type="character" w:styleId="eop" w:customStyle="1">
    <w:name w:val="eop"/>
    <w:basedOn w:val="DefaultParagraphFont"/>
    <w:rsid w:val="00ED3C24"/>
  </w:style>
  <w:style w:type="character" w:styleId="spellingerror" w:customStyle="1">
    <w:name w:val="spellingerror"/>
    <w:basedOn w:val="DefaultParagraphFont"/>
    <w:rsid w:val="00ED3C24"/>
  </w:style>
  <w:style w:type="character" w:styleId="contextualspellingandgrammarerror" w:customStyle="1">
    <w:name w:val="contextualspellingandgrammarerror"/>
    <w:basedOn w:val="DefaultParagraphFont"/>
    <w:rsid w:val="00ED3C2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Ak0Vx3bjFvuZ0UKyT9ifPfKKQ==">AMUW2mUKp1PvgzwKVnbUg/O6MtjSlB6Bv3b8XmYNsKh00AN1U6YsQv6lla/CMSLzXoIFaSje3S8/q6N4yiYfOCZ1T8LH7z2vAISDXoWnVh6aZdjeIKxFpO/wTwOM7G0QompTHj+ymF+s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2019-05-16T14:22:00Z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